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CA" w:rsidRDefault="002420CA" w:rsidP="00A27435">
      <w:pPr>
        <w:spacing w:line="360" w:lineRule="auto"/>
      </w:pPr>
      <w:r>
        <w:t>Date: December 9, 2015</w:t>
      </w:r>
    </w:p>
    <w:p w:rsidR="002420CA" w:rsidRPr="002420CA" w:rsidRDefault="002420CA" w:rsidP="00A27435">
      <w:pPr>
        <w:spacing w:line="360" w:lineRule="auto"/>
      </w:pPr>
      <w:r w:rsidRPr="002420CA">
        <w:t xml:space="preserve">To: Dr. Sheri </w:t>
      </w:r>
      <w:proofErr w:type="spellStart"/>
      <w:r w:rsidRPr="002420CA">
        <w:t>Imsdahl</w:t>
      </w:r>
      <w:proofErr w:type="spellEnd"/>
      <w:r w:rsidRPr="002420CA">
        <w:t>, Professor</w:t>
      </w:r>
    </w:p>
    <w:p w:rsidR="002420CA" w:rsidRDefault="002420CA" w:rsidP="00A27435">
      <w:pPr>
        <w:spacing w:line="360" w:lineRule="auto"/>
      </w:pPr>
      <w:r>
        <w:t>From: Kira Neuman, UW Mechanical Engineering</w:t>
      </w:r>
    </w:p>
    <w:p w:rsidR="002420CA" w:rsidRDefault="002420CA" w:rsidP="002C7910">
      <w:r>
        <w:t>Subject: Project 3</w:t>
      </w:r>
    </w:p>
    <w:p w:rsidR="002420CA" w:rsidRDefault="002420CA" w:rsidP="002C7910"/>
    <w:p w:rsidR="002420CA" w:rsidRPr="000C6A9D" w:rsidRDefault="002420CA">
      <w:pPr>
        <w:rPr>
          <w:b/>
        </w:rPr>
      </w:pPr>
      <w:r w:rsidRPr="00D64868">
        <w:rPr>
          <w:b/>
          <w:sz w:val="28"/>
        </w:rPr>
        <w:t>Abstract</w:t>
      </w:r>
    </w:p>
    <w:p w:rsidR="000C6A9D" w:rsidRDefault="00D64868">
      <w:r>
        <w:t xml:space="preserve">This report tests whether or not it is valid to model </w:t>
      </w:r>
      <w:r>
        <w:t>polydimethylsiloxane</w:t>
      </w:r>
      <w:r>
        <w:t xml:space="preserve"> microposts as cantilever beams. Comparing the theoretical behavior of a beam with an ANSYS model confirms that finite element analysis can accurately reproduce the expected results. Analytically, the maximum displacement at the end of the beam is 0.1125 while ANSYS generates 0.113, an error of 0.44%. Using ANSYS to model a beam attached to base made of the same material yields a larger displacement, 0.132, and a 17.33% error, but the behavior is still a linear relationship with the amount of force applied. Overall, it is valid to model the micropost as a beam if the goal is to evaluate the general behavior and trends, but not valid if accurate numerical results are needed.</w:t>
      </w:r>
    </w:p>
    <w:p w:rsidR="00694541" w:rsidRDefault="00694541"/>
    <w:p w:rsidR="002420CA" w:rsidRPr="002420CA" w:rsidRDefault="002420CA">
      <w:pPr>
        <w:rPr>
          <w:b/>
        </w:rPr>
      </w:pPr>
      <w:r w:rsidRPr="002420CA">
        <w:rPr>
          <w:b/>
        </w:rPr>
        <w:t>Introduction</w:t>
      </w:r>
    </w:p>
    <w:p w:rsidR="003E0D3B" w:rsidRDefault="002420CA">
      <w:r>
        <w:t xml:space="preserve">Microposts made from polydimethylsiloxane (PDMS) can be used to measure the forces that are generated by cells as they crawl and contract. </w:t>
      </w:r>
      <w:r w:rsidR="00634E3D">
        <w:t xml:space="preserve">This method is used in lab tests by Professor </w:t>
      </w:r>
      <w:proofErr w:type="spellStart"/>
      <w:r w:rsidR="00634E3D">
        <w:t>Sniadecki</w:t>
      </w:r>
      <w:proofErr w:type="spellEnd"/>
      <w:r w:rsidR="00634E3D">
        <w:t xml:space="preserve"> at the University of Washington. </w:t>
      </w:r>
      <w:r w:rsidR="003E0D3B">
        <w:t xml:space="preserve">Figure 1 shows an array of these microposts as captured by scanning electron microscopy. </w:t>
      </w:r>
      <w:r>
        <w:t xml:space="preserve">This report explores whether or not it is valid to assume that the micropost can be modeled as a three-dimensional beam. This is achieved by comparing the deflection of a of two PDSM beams, one </w:t>
      </w:r>
      <w:r w:rsidR="000C6A9D">
        <w:t>with</w:t>
      </w:r>
      <w:r w:rsidR="005B62C2">
        <w:t xml:space="preserve"> constrained displacement at the end </w:t>
      </w:r>
      <w:r w:rsidR="000C6A9D">
        <w:t>and one</w:t>
      </w:r>
      <w:r>
        <w:t xml:space="preserve"> </w:t>
      </w:r>
      <w:r w:rsidR="000C6A9D">
        <w:t xml:space="preserve">attached </w:t>
      </w:r>
      <w:r>
        <w:t xml:space="preserve">to </w:t>
      </w:r>
      <w:r w:rsidR="000C6A9D">
        <w:t xml:space="preserve">a base made of PDSM. </w:t>
      </w:r>
      <w:r>
        <w:t xml:space="preserve"> </w:t>
      </w:r>
      <w:r w:rsidR="000C6A9D">
        <w:t>The results were obtained with finite element analysis methods and computed in ANSYS software.</w:t>
      </w:r>
    </w:p>
    <w:p w:rsidR="003E0D3B" w:rsidRDefault="003E0D3B">
      <w:pPr>
        <w:rPr>
          <w:noProof/>
        </w:rPr>
      </w:pPr>
    </w:p>
    <w:p w:rsidR="003E0D3B" w:rsidRDefault="003E0D3B" w:rsidP="003E0D3B">
      <w:pPr>
        <w:jc w:val="center"/>
      </w:pPr>
      <w:r>
        <w:rPr>
          <w:noProof/>
        </w:rPr>
        <w:drawing>
          <wp:inline distT="0" distB="0" distL="0" distR="0" wp14:anchorId="79994602" wp14:editId="44E5A78A">
            <wp:extent cx="1537995" cy="17526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6000"/>
                    <a:stretch/>
                  </pic:blipFill>
                  <pic:spPr bwMode="auto">
                    <a:xfrm>
                      <a:off x="0" y="0"/>
                      <a:ext cx="1538619" cy="1753311"/>
                    </a:xfrm>
                    <a:prstGeom prst="rect">
                      <a:avLst/>
                    </a:prstGeom>
                    <a:ln>
                      <a:noFill/>
                    </a:ln>
                    <a:extLst>
                      <a:ext uri="{53640926-AAD7-44D8-BBD7-CCE9431645EC}">
                        <a14:shadowObscured xmlns:a14="http://schemas.microsoft.com/office/drawing/2010/main"/>
                      </a:ext>
                    </a:extLst>
                  </pic:spPr>
                </pic:pic>
              </a:graphicData>
            </a:graphic>
          </wp:inline>
        </w:drawing>
      </w:r>
    </w:p>
    <w:p w:rsidR="003E0D3B" w:rsidRDefault="003E0D3B" w:rsidP="003E0D3B">
      <w:pPr>
        <w:jc w:val="center"/>
      </w:pPr>
      <w:proofErr w:type="gramStart"/>
      <w:r w:rsidRPr="003E0D3B">
        <w:rPr>
          <w:b/>
        </w:rPr>
        <w:t>Figure 1</w:t>
      </w:r>
      <w:r>
        <w:t>.</w:t>
      </w:r>
      <w:proofErr w:type="gramEnd"/>
      <w:r>
        <w:t xml:space="preserve"> Image of an array of microposts</w:t>
      </w:r>
    </w:p>
    <w:p w:rsidR="002420CA" w:rsidRDefault="002420CA" w:rsidP="003E0D3B">
      <w:pPr>
        <w:jc w:val="center"/>
      </w:pPr>
    </w:p>
    <w:p w:rsidR="002420CA" w:rsidRPr="00A27435" w:rsidRDefault="002420CA">
      <w:pPr>
        <w:rPr>
          <w:b/>
          <w:sz w:val="28"/>
        </w:rPr>
      </w:pPr>
      <w:r w:rsidRPr="00A27435">
        <w:rPr>
          <w:b/>
          <w:sz w:val="28"/>
        </w:rPr>
        <w:t>Methodology</w:t>
      </w:r>
    </w:p>
    <w:p w:rsidR="000C6A9D" w:rsidRDefault="00694541">
      <w:r>
        <w:t xml:space="preserve">The micropost analyzed in this report had base dimensions 3 </w:t>
      </w:r>
      <m:oMath>
        <m:r>
          <w:rPr>
            <w:rFonts w:ascii="Cambria Math" w:hAnsi="Cambria Math"/>
          </w:rPr>
          <m:t>μ</m:t>
        </m:r>
      </m:oMath>
      <w:r>
        <w:t xml:space="preserve">m x 3 </w:t>
      </w:r>
      <m:oMath>
        <m:r>
          <w:rPr>
            <w:rFonts w:ascii="Cambria Math" w:hAnsi="Cambria Math"/>
          </w:rPr>
          <m:t>μ</m:t>
        </m:r>
      </m:oMath>
      <w:r>
        <w:t xml:space="preserve">m and a length of 15 </w:t>
      </w:r>
      <m:oMath>
        <m:r>
          <w:rPr>
            <w:rFonts w:ascii="Cambria Math" w:hAnsi="Cambria Math"/>
          </w:rPr>
          <m:t>μ</m:t>
        </m:r>
      </m:oMath>
      <w:r>
        <w:t xml:space="preserve">m. </w:t>
      </w:r>
      <w:r w:rsidR="00CA1C51">
        <w:t xml:space="preserve">A pressure (p) is applied to one face of the beam, as shown in Figure 2. </w:t>
      </w:r>
      <w:r w:rsidR="005A0782">
        <w:t>For</w:t>
      </w:r>
      <w:r>
        <w:t xml:space="preserve"> PDMS, Young’s modulus (E) is 2.5 MPa and Poisson’s ratio (</w:t>
      </w:r>
      <w:r>
        <w:rPr>
          <w:rFonts w:ascii="Sylfaen" w:hAnsi="Sylfaen"/>
        </w:rPr>
        <w:t>ν</w:t>
      </w:r>
      <w:r>
        <w:t xml:space="preserve">) is 0.449. </w:t>
      </w:r>
      <w:r w:rsidR="00CA1C51">
        <w:t xml:space="preserve">Figure 3 represents an array of microposts with a cell on top, where </w:t>
      </w:r>
      <w:r w:rsidR="00CA1C51">
        <w:rPr>
          <w:rFonts w:ascii="Sylfaen" w:hAnsi="Sylfaen"/>
        </w:rPr>
        <w:t>δ</w:t>
      </w:r>
      <w:r w:rsidR="00CA1C51">
        <w:t xml:space="preserve"> measures the deflection at the end of the post.</w:t>
      </w:r>
    </w:p>
    <w:p w:rsidR="00CA1C51" w:rsidRDefault="00CA1C51" w:rsidP="00CA1C51">
      <w:pPr>
        <w:jc w:val="center"/>
      </w:pPr>
      <w:r>
        <w:rPr>
          <w:noProof/>
        </w:rPr>
        <w:lastRenderedPageBreak/>
        <w:drawing>
          <wp:inline distT="0" distB="0" distL="0" distR="0">
            <wp:extent cx="13716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65" cy="2402514"/>
                    </a:xfrm>
                    <a:prstGeom prst="rect">
                      <a:avLst/>
                    </a:prstGeom>
                    <a:noFill/>
                    <a:ln>
                      <a:noFill/>
                    </a:ln>
                  </pic:spPr>
                </pic:pic>
              </a:graphicData>
            </a:graphic>
          </wp:inline>
        </w:drawing>
      </w:r>
    </w:p>
    <w:p w:rsidR="00CA1C51" w:rsidRDefault="00CA1C51" w:rsidP="00CA1C51">
      <w:pPr>
        <w:jc w:val="center"/>
      </w:pPr>
      <w:proofErr w:type="gramStart"/>
      <w:r w:rsidRPr="00CA1C51">
        <w:rPr>
          <w:b/>
        </w:rPr>
        <w:t>Figure 2</w:t>
      </w:r>
      <w:r>
        <w:t>.</w:t>
      </w:r>
      <w:proofErr w:type="gramEnd"/>
      <w:r>
        <w:t xml:space="preserve"> Diagram of micropost with dimensions and pressure, p</w:t>
      </w:r>
    </w:p>
    <w:p w:rsidR="00CA1C51" w:rsidRDefault="00CA1C51"/>
    <w:p w:rsidR="00CA1C51" w:rsidRDefault="00CA1C51" w:rsidP="00CA1C51">
      <w:pPr>
        <w:jc w:val="center"/>
      </w:pPr>
      <w:r>
        <w:rPr>
          <w:noProof/>
        </w:rPr>
        <w:drawing>
          <wp:inline distT="0" distB="0" distL="0" distR="0" wp14:anchorId="23FB5568" wp14:editId="7C084B39">
            <wp:extent cx="2019300" cy="13926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20182" cy="1393229"/>
                    </a:xfrm>
                    <a:prstGeom prst="rect">
                      <a:avLst/>
                    </a:prstGeom>
                  </pic:spPr>
                </pic:pic>
              </a:graphicData>
            </a:graphic>
          </wp:inline>
        </w:drawing>
      </w:r>
    </w:p>
    <w:p w:rsidR="00CA1C51" w:rsidRDefault="00CA1C51" w:rsidP="00CA1C51">
      <w:pPr>
        <w:jc w:val="center"/>
      </w:pPr>
      <w:proofErr w:type="gramStart"/>
      <w:r w:rsidRPr="00CA1C51">
        <w:rPr>
          <w:b/>
        </w:rPr>
        <w:t>Figure 3</w:t>
      </w:r>
      <w:r>
        <w:t>.</w:t>
      </w:r>
      <w:proofErr w:type="gramEnd"/>
      <w:r>
        <w:t xml:space="preserve"> Array of microposts with cell and deflection (</w:t>
      </w:r>
      <w:r>
        <w:rPr>
          <w:rFonts w:ascii="Sylfaen" w:hAnsi="Sylfaen"/>
        </w:rPr>
        <w:t>δ</w:t>
      </w:r>
      <w:r>
        <w:t>) at end of post</w:t>
      </w:r>
    </w:p>
    <w:p w:rsidR="00A76233" w:rsidRDefault="00A76233" w:rsidP="00A76233"/>
    <w:p w:rsidR="00A76233" w:rsidRDefault="00A76233" w:rsidP="00A76233">
      <w:r>
        <w:t>To begin, the analytical relationship between distributed load and deflection at the</w:t>
      </w:r>
      <w:r w:rsidR="005B62C2">
        <w:t xml:space="preserve"> end of the beam was determined since this is the assumption being tested. </w:t>
      </w:r>
      <w:r>
        <w:t xml:space="preserve"> </w:t>
      </w:r>
      <w:r w:rsidR="001305C6">
        <w:t>It is known from beam theory that the maximum deflection of a cantilever beam, that is a beam where one end is fixed in all directions, can be expressed as:</w:t>
      </w:r>
    </w:p>
    <w:p w:rsidR="000D68E5" w:rsidRDefault="000D68E5" w:rsidP="00A76233"/>
    <w:p w:rsidR="001305C6" w:rsidRDefault="00EF6F99" w:rsidP="006C01C1">
      <w:pPr>
        <w:jc w:val="right"/>
        <w:rPr>
          <w:rFonts w:eastAsiaTheme="minorEastAsia"/>
        </w:rPr>
      </w:pPr>
      <m:oMath>
        <m:sSub>
          <m:sSubPr>
            <m:ctrlPr>
              <w:rPr>
                <w:rFonts w:ascii="Cambria Math" w:hAnsi="Cambria Math"/>
                <w:i/>
              </w:rPr>
            </m:ctrlPr>
          </m:sSubPr>
          <m:e>
            <m:r>
              <w:rPr>
                <w:rFonts w:ascii="Cambria Math" w:hAnsi="Cambria Math"/>
              </w:rPr>
              <m:t>δ</m:t>
            </m:r>
          </m:e>
          <m:sub>
            <m:r>
              <w:rPr>
                <w:rFonts w:ascii="Cambria Math" w:hAnsi="Cambria Math"/>
              </w:rPr>
              <m:t>max</m:t>
            </m:r>
          </m:sub>
        </m:sSub>
        <m:r>
          <w:rPr>
            <w:rFonts w:ascii="Cambria Math" w:hAnsi="Cambria Math"/>
          </w:rPr>
          <m:t>=</m:t>
        </m:r>
        <m:f>
          <m:fPr>
            <m:type m:val="skw"/>
            <m:ctrlPr>
              <w:rPr>
                <w:rFonts w:ascii="Cambria Math" w:hAnsi="Cambria Math"/>
                <w:i/>
              </w:rPr>
            </m:ctrlPr>
          </m:fPr>
          <m:num>
            <m:r>
              <w:rPr>
                <w:rFonts w:ascii="Cambria Math" w:hAnsi="Cambria Math"/>
              </w:rPr>
              <m:t>ω</m:t>
            </m:r>
            <m:sSup>
              <m:sSupPr>
                <m:ctrlPr>
                  <w:rPr>
                    <w:rFonts w:ascii="Cambria Math" w:hAnsi="Cambria Math"/>
                    <w:i/>
                  </w:rPr>
                </m:ctrlPr>
              </m:sSupPr>
              <m:e>
                <m:r>
                  <w:rPr>
                    <w:rFonts w:ascii="Cambria Math" w:hAnsi="Cambria Math"/>
                  </w:rPr>
                  <m:t>L</m:t>
                </m:r>
              </m:e>
              <m:sup>
                <m:r>
                  <w:rPr>
                    <w:rFonts w:ascii="Cambria Math" w:hAnsi="Cambria Math"/>
                  </w:rPr>
                  <m:t>4</m:t>
                </m:r>
              </m:sup>
            </m:sSup>
          </m:num>
          <m:den>
            <m:r>
              <w:rPr>
                <w:rFonts w:ascii="Cambria Math" w:hAnsi="Cambria Math"/>
              </w:rPr>
              <m:t>8EI</m:t>
            </m:r>
          </m:den>
        </m:f>
      </m:oMath>
      <w:r w:rsidR="006C01C1">
        <w:rPr>
          <w:rFonts w:eastAsiaTheme="minorEastAsia"/>
        </w:rPr>
        <w:tab/>
      </w:r>
      <w:r w:rsidR="006C01C1">
        <w:rPr>
          <w:rFonts w:eastAsiaTheme="minorEastAsia"/>
        </w:rPr>
        <w:tab/>
      </w:r>
      <w:r w:rsidR="006C01C1">
        <w:rPr>
          <w:rFonts w:eastAsiaTheme="minorEastAsia"/>
        </w:rPr>
        <w:tab/>
      </w:r>
      <w:r w:rsidR="006C01C1">
        <w:rPr>
          <w:rFonts w:eastAsiaTheme="minorEastAsia"/>
        </w:rPr>
        <w:tab/>
      </w:r>
      <w:r w:rsidR="006C01C1">
        <w:rPr>
          <w:rFonts w:eastAsiaTheme="minorEastAsia"/>
        </w:rPr>
        <w:tab/>
        <w:t>(Eq. 1)</w:t>
      </w:r>
    </w:p>
    <w:p w:rsidR="000D68E5" w:rsidRPr="001305C6" w:rsidRDefault="000D68E5" w:rsidP="006C01C1">
      <w:pPr>
        <w:jc w:val="right"/>
        <w:rPr>
          <w:rFonts w:eastAsiaTheme="minorEastAsia"/>
        </w:rPr>
      </w:pPr>
    </w:p>
    <w:p w:rsidR="006C01C1" w:rsidRDefault="001305C6" w:rsidP="00A76233">
      <w:pPr>
        <w:rPr>
          <w:rFonts w:eastAsiaTheme="minorEastAsia"/>
        </w:rPr>
      </w:pPr>
      <w:proofErr w:type="gramStart"/>
      <w:r>
        <w:rPr>
          <w:rFonts w:eastAsiaTheme="minorEastAsia"/>
        </w:rPr>
        <w:t>where</w:t>
      </w:r>
      <w:proofErr w:type="gramEnd"/>
      <w:r>
        <w:rPr>
          <w:rFonts w:eastAsiaTheme="minorEastAsia"/>
        </w:rPr>
        <w:t xml:space="preserve"> </w:t>
      </w:r>
      <w:r>
        <w:rPr>
          <w:rFonts w:ascii="Sylfaen" w:eastAsiaTheme="minorEastAsia" w:hAnsi="Sylfaen"/>
        </w:rPr>
        <w:t>ω</w:t>
      </w:r>
      <w:r>
        <w:rPr>
          <w:rFonts w:eastAsiaTheme="minorEastAsia"/>
        </w:rPr>
        <w:t xml:space="preserve"> is the distributed load, L is length, E is Young’s modulus and I is the area moment of inertia.  </w:t>
      </w:r>
      <w:r w:rsidR="006C01C1">
        <w:rPr>
          <w:rFonts w:eastAsiaTheme="minorEastAsia"/>
        </w:rPr>
        <w:t>For a rectangle, area moment of inertia is written:</w:t>
      </w:r>
    </w:p>
    <w:p w:rsidR="000D68E5" w:rsidRDefault="000D68E5" w:rsidP="00A76233">
      <w:pPr>
        <w:rPr>
          <w:rFonts w:eastAsiaTheme="minorEastAsia"/>
        </w:rPr>
      </w:pPr>
    </w:p>
    <w:p w:rsidR="001305C6" w:rsidRDefault="006C01C1" w:rsidP="006C01C1">
      <w:pPr>
        <w:jc w:val="right"/>
        <w:rPr>
          <w:rFonts w:eastAsiaTheme="minorEastAsia"/>
        </w:rPr>
      </w:pPr>
      <m:oMath>
        <m:r>
          <w:rPr>
            <w:rFonts w:ascii="Cambria Math" w:eastAsiaTheme="minorEastAsia" w:hAnsi="Cambria Math"/>
          </w:rPr>
          <m:t xml:space="preserve">I=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r>
          <w:rPr>
            <w:rFonts w:ascii="Cambria Math" w:eastAsiaTheme="minorEastAsia" w:hAnsi="Cambria Math"/>
          </w:rPr>
          <m:t>b</m:t>
        </m:r>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3</m:t>
            </m:r>
          </m:sup>
        </m:sSup>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(Eq. 2)</w:t>
      </w:r>
    </w:p>
    <w:p w:rsidR="000D68E5" w:rsidRPr="006C01C1" w:rsidRDefault="000D68E5" w:rsidP="006C01C1">
      <w:pPr>
        <w:jc w:val="right"/>
        <w:rPr>
          <w:rFonts w:eastAsiaTheme="minorEastAsia"/>
        </w:rPr>
      </w:pPr>
    </w:p>
    <w:p w:rsidR="006C01C1" w:rsidRDefault="006C01C1" w:rsidP="00A76233">
      <w:pPr>
        <w:rPr>
          <w:rFonts w:eastAsiaTheme="minorEastAsia"/>
        </w:rPr>
      </w:pPr>
      <w:r>
        <w:rPr>
          <w:rFonts w:eastAsiaTheme="minorEastAsia"/>
        </w:rPr>
        <w:t>Since this problem has a given pressure, the distributed load is equivalent to the pressure multiplied by the depth of the face on which it is applied, the base (b) of the beam. Substituting this relationship and Eq. 2 into Eq. 1 shows:</w:t>
      </w:r>
    </w:p>
    <w:p w:rsidR="000D68E5" w:rsidRDefault="000D68E5" w:rsidP="00A76233">
      <w:pPr>
        <w:rPr>
          <w:rFonts w:eastAsiaTheme="minorEastAsia"/>
        </w:rPr>
      </w:pPr>
    </w:p>
    <w:p w:rsidR="006C01C1" w:rsidRDefault="00EF6F99" w:rsidP="006C01C1">
      <w:pPr>
        <w:jc w:val="right"/>
        <w:rPr>
          <w:rFonts w:eastAsiaTheme="minorEastAsia"/>
        </w:rPr>
      </w:pPr>
      <m:oMath>
        <m:sSub>
          <m:sSubPr>
            <m:ctrlPr>
              <w:rPr>
                <w:rFonts w:ascii="Cambria Math" w:hAnsi="Cambria Math"/>
                <w:i/>
              </w:rPr>
            </m:ctrlPr>
          </m:sSubPr>
          <m:e>
            <m:r>
              <w:rPr>
                <w:rFonts w:ascii="Cambria Math" w:hAnsi="Cambria Math"/>
              </w:rPr>
              <m:t>δ</m:t>
            </m:r>
          </m:e>
          <m:sub>
            <m:r>
              <w:rPr>
                <w:rFonts w:ascii="Cambria Math" w:hAnsi="Cambria Math"/>
              </w:rPr>
              <m:t>max</m:t>
            </m:r>
          </m:sub>
        </m:sSub>
        <m:r>
          <w:rPr>
            <w:rFonts w:ascii="Cambria Math" w:hAnsi="Cambria Math"/>
          </w:rPr>
          <m:t>=</m:t>
        </m:r>
        <m:f>
          <m:fPr>
            <m:type m:val="skw"/>
            <m:ctrlPr>
              <w:rPr>
                <w:rFonts w:ascii="Cambria Math" w:hAnsi="Cambria Math"/>
                <w:i/>
              </w:rPr>
            </m:ctrlPr>
          </m:fPr>
          <m:num>
            <m:r>
              <w:rPr>
                <w:rFonts w:ascii="Cambria Math" w:hAnsi="Cambria Math"/>
              </w:rPr>
              <m:t>12p</m:t>
            </m:r>
            <m:sSup>
              <m:sSupPr>
                <m:ctrlPr>
                  <w:rPr>
                    <w:rFonts w:ascii="Cambria Math" w:hAnsi="Cambria Math"/>
                    <w:i/>
                  </w:rPr>
                </m:ctrlPr>
              </m:sSupPr>
              <m:e>
                <m:r>
                  <w:rPr>
                    <w:rFonts w:ascii="Cambria Math" w:hAnsi="Cambria Math"/>
                  </w:rPr>
                  <m:t>L</m:t>
                </m:r>
              </m:e>
              <m:sup>
                <m:r>
                  <w:rPr>
                    <w:rFonts w:ascii="Cambria Math" w:hAnsi="Cambria Math"/>
                  </w:rPr>
                  <m:t>4</m:t>
                </m:r>
              </m:sup>
            </m:sSup>
          </m:num>
          <m:den>
            <m:r>
              <w:rPr>
                <w:rFonts w:ascii="Cambria Math" w:hAnsi="Cambria Math"/>
              </w:rPr>
              <m:t>8E</m:t>
            </m:r>
            <m:sSup>
              <m:sSupPr>
                <m:ctrlPr>
                  <w:rPr>
                    <w:rFonts w:ascii="Cambria Math" w:hAnsi="Cambria Math"/>
                    <w:i/>
                  </w:rPr>
                </m:ctrlPr>
              </m:sSupPr>
              <m:e>
                <m:r>
                  <w:rPr>
                    <w:rFonts w:ascii="Cambria Math" w:hAnsi="Cambria Math"/>
                  </w:rPr>
                  <m:t>h</m:t>
                </m:r>
              </m:e>
              <m:sup>
                <m:r>
                  <w:rPr>
                    <w:rFonts w:ascii="Cambria Math" w:hAnsi="Cambria Math"/>
                  </w:rPr>
                  <m:t>3</m:t>
                </m:r>
              </m:sup>
            </m:sSup>
          </m:den>
        </m:f>
      </m:oMath>
      <w:r w:rsidR="006C01C1">
        <w:rPr>
          <w:rFonts w:eastAsiaTheme="minorEastAsia"/>
        </w:rPr>
        <w:tab/>
      </w:r>
      <w:r w:rsidR="006C01C1">
        <w:rPr>
          <w:rFonts w:eastAsiaTheme="minorEastAsia"/>
        </w:rPr>
        <w:tab/>
      </w:r>
      <w:r w:rsidR="00E12061">
        <w:rPr>
          <w:rFonts w:eastAsiaTheme="minorEastAsia"/>
        </w:rPr>
        <w:t xml:space="preserve">    </w:t>
      </w:r>
      <w:r w:rsidR="006C01C1">
        <w:rPr>
          <w:rFonts w:eastAsiaTheme="minorEastAsia"/>
        </w:rPr>
        <w:tab/>
      </w:r>
      <w:r w:rsidR="006C01C1">
        <w:rPr>
          <w:rFonts w:eastAsiaTheme="minorEastAsia"/>
        </w:rPr>
        <w:tab/>
      </w:r>
      <w:r w:rsidR="00E12061">
        <w:rPr>
          <w:rFonts w:eastAsiaTheme="minorEastAsia"/>
        </w:rPr>
        <w:t xml:space="preserve">             </w:t>
      </w:r>
      <w:r w:rsidR="006C01C1">
        <w:rPr>
          <w:rFonts w:eastAsiaTheme="minorEastAsia"/>
        </w:rPr>
        <w:t>(Eq. 3)</w:t>
      </w:r>
    </w:p>
    <w:p w:rsidR="000D68E5" w:rsidRDefault="000D68E5" w:rsidP="006C01C1">
      <w:pPr>
        <w:jc w:val="right"/>
        <w:rPr>
          <w:rFonts w:eastAsiaTheme="minorEastAsia"/>
        </w:rPr>
      </w:pPr>
    </w:p>
    <w:p w:rsidR="00495FD0" w:rsidRDefault="00A17BD0">
      <w:r>
        <w:rPr>
          <w:rFonts w:eastAsiaTheme="minorEastAsia"/>
        </w:rPr>
        <w:t xml:space="preserve">Now that the analytical relationship is established, the micropost can be modeled in ANSYS. </w:t>
      </w:r>
      <w:r w:rsidR="00A42525">
        <w:rPr>
          <w:rFonts w:eastAsiaTheme="minorEastAsia"/>
        </w:rPr>
        <w:t>The volume was modeled using the dimensions listed above (Figure 2) and the properties of PDMS were set. SOLID187, a tetrahedral element with 10 nodes, was chosen since it can be meshed automatically by the software. The bottom face of the beam was given a fixed displacement load in the x, y, and z directions. A pressure of 1nN/</w:t>
      </w:r>
      <m:oMath>
        <m:r>
          <w:rPr>
            <w:rFonts w:ascii="Cambria Math" w:hAnsi="Cambria Math"/>
          </w:rPr>
          <m:t>μ</m:t>
        </m:r>
      </m:oMath>
      <w:r w:rsidR="00A42525">
        <w:t>m</w:t>
      </w:r>
      <w:r w:rsidR="00A42525">
        <w:rPr>
          <w:rFonts w:eastAsiaTheme="minorEastAsia"/>
        </w:rPr>
        <w:t xml:space="preserve"> was applied uniformly to one side of the beam. Initially, the mesh was set fairly coarse, with only a few hundred elements. This was further refined to over 100,000 elements in order to ensure an accurate result. This model was than analyze and the deformed shape plotted </w:t>
      </w:r>
      <w:r w:rsidR="00110EDC">
        <w:rPr>
          <w:rFonts w:eastAsiaTheme="minorEastAsia"/>
        </w:rPr>
        <w:t>over an outline of the original</w:t>
      </w:r>
      <w:r w:rsidR="00A42525">
        <w:rPr>
          <w:rFonts w:eastAsiaTheme="minorEastAsia"/>
        </w:rPr>
        <w:t xml:space="preserve"> un-deformed shape (Figure 4)</w:t>
      </w:r>
      <w:r w:rsidR="00110EDC">
        <w:rPr>
          <w:rFonts w:eastAsiaTheme="minorEastAsia"/>
        </w:rPr>
        <w:t xml:space="preserve"> and the maximum displacement recorded</w:t>
      </w:r>
      <w:r w:rsidR="00D611DA">
        <w:rPr>
          <w:rFonts w:eastAsiaTheme="minorEastAsia"/>
        </w:rPr>
        <w:t xml:space="preserve"> for comparison with the results of Eq. 3</w:t>
      </w:r>
      <w:r w:rsidR="00A42525">
        <w:rPr>
          <w:rFonts w:eastAsiaTheme="minorEastAsia"/>
        </w:rPr>
        <w:t>.</w:t>
      </w:r>
    </w:p>
    <w:p w:rsidR="00694541" w:rsidRDefault="00A42525" w:rsidP="00495FD0">
      <w:pPr>
        <w:jc w:val="center"/>
      </w:pPr>
      <w:r>
        <w:rPr>
          <w:noProof/>
        </w:rPr>
        <w:drawing>
          <wp:inline distT="0" distB="0" distL="0" distR="0" wp14:anchorId="3A24F078" wp14:editId="362A0B94">
            <wp:extent cx="1440119" cy="2714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6757" t="3190" r="39157" b="10934"/>
                    <a:stretch/>
                  </pic:blipFill>
                  <pic:spPr bwMode="auto">
                    <a:xfrm>
                      <a:off x="0" y="0"/>
                      <a:ext cx="1443057" cy="2720164"/>
                    </a:xfrm>
                    <a:prstGeom prst="rect">
                      <a:avLst/>
                    </a:prstGeom>
                    <a:ln>
                      <a:noFill/>
                    </a:ln>
                    <a:extLst>
                      <a:ext uri="{53640926-AAD7-44D8-BBD7-CCE9431645EC}">
                        <a14:shadowObscured xmlns:a14="http://schemas.microsoft.com/office/drawing/2010/main"/>
                      </a:ext>
                    </a:extLst>
                  </pic:spPr>
                </pic:pic>
              </a:graphicData>
            </a:graphic>
          </wp:inline>
        </w:drawing>
      </w:r>
    </w:p>
    <w:p w:rsidR="00495FD0" w:rsidRDefault="00495FD0" w:rsidP="00495FD0">
      <w:pPr>
        <w:jc w:val="center"/>
      </w:pPr>
      <w:proofErr w:type="gramStart"/>
      <w:r w:rsidRPr="00495FD0">
        <w:rPr>
          <w:b/>
        </w:rPr>
        <w:t>Figure 4</w:t>
      </w:r>
      <w:r>
        <w:t>.</w:t>
      </w:r>
      <w:proofErr w:type="gramEnd"/>
      <w:r>
        <w:t xml:space="preserve"> Deformed and un-deformed cantilever beam under applied pressure</w:t>
      </w:r>
    </w:p>
    <w:p w:rsidR="00495FD0" w:rsidRDefault="00495FD0" w:rsidP="00495FD0">
      <w:pPr>
        <w:jc w:val="center"/>
      </w:pPr>
    </w:p>
    <w:p w:rsidR="00495FD0" w:rsidRDefault="000E1A0D" w:rsidP="00495FD0">
      <w:r>
        <w:t>Next, the micropost was modeled with an attached base also made of PDMS in order to analyze the real physical geometry of the system.</w:t>
      </w:r>
      <w:r w:rsidR="00D138D5">
        <w:t xml:space="preserve"> </w:t>
      </w:r>
      <w:r w:rsidR="002F59D5">
        <w:t xml:space="preserve">The beam still maintains the previous dimensions, but is now situated in the center of a large rectangle measuring 100 </w:t>
      </w:r>
      <m:oMath>
        <m:r>
          <w:rPr>
            <w:rFonts w:ascii="Cambria Math" w:hAnsi="Cambria Math"/>
          </w:rPr>
          <m:t>μ</m:t>
        </m:r>
      </m:oMath>
      <w:r w:rsidR="002F59D5">
        <w:t xml:space="preserve">m x 100 </w:t>
      </w:r>
      <m:oMath>
        <m:r>
          <w:rPr>
            <w:rFonts w:ascii="Cambria Math" w:hAnsi="Cambria Math"/>
          </w:rPr>
          <m:t>μ</m:t>
        </m:r>
      </m:oMath>
      <w:r w:rsidR="002F59D5">
        <w:t xml:space="preserve">m with a depth of 40 </w:t>
      </w:r>
      <m:oMath>
        <m:r>
          <w:rPr>
            <w:rFonts w:ascii="Cambria Math" w:hAnsi="Cambria Math"/>
          </w:rPr>
          <m:t>μ</m:t>
        </m:r>
      </m:oMath>
      <w:r w:rsidR="002F59D5">
        <w:t>m</w:t>
      </w:r>
      <w:r w:rsidR="00D62C58">
        <w:t xml:space="preserve">, as illustrated in Figure 5. </w:t>
      </w:r>
    </w:p>
    <w:p w:rsidR="00D138D5" w:rsidRDefault="00D138D5" w:rsidP="00D138D5">
      <w:pPr>
        <w:jc w:val="center"/>
        <w:rPr>
          <w:b/>
          <w:sz w:val="28"/>
          <w:highlight w:val="yellow"/>
        </w:rPr>
      </w:pPr>
      <w:bookmarkStart w:id="0" w:name="_GoBack"/>
      <w:bookmarkEnd w:id="0"/>
      <w:r>
        <w:rPr>
          <w:noProof/>
        </w:rPr>
        <w:drawing>
          <wp:inline distT="0" distB="0" distL="0" distR="0" wp14:anchorId="7DF978FA" wp14:editId="66A30581">
            <wp:extent cx="3248025" cy="24339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807" t="12950" r="17532" b="16013"/>
                    <a:stretch/>
                  </pic:blipFill>
                  <pic:spPr bwMode="auto">
                    <a:xfrm>
                      <a:off x="0" y="0"/>
                      <a:ext cx="3293181" cy="2467802"/>
                    </a:xfrm>
                    <a:prstGeom prst="rect">
                      <a:avLst/>
                    </a:prstGeom>
                    <a:ln>
                      <a:noFill/>
                    </a:ln>
                    <a:extLst>
                      <a:ext uri="{53640926-AAD7-44D8-BBD7-CCE9431645EC}">
                        <a14:shadowObscured xmlns:a14="http://schemas.microsoft.com/office/drawing/2010/main"/>
                      </a:ext>
                    </a:extLst>
                  </pic:spPr>
                </pic:pic>
              </a:graphicData>
            </a:graphic>
          </wp:inline>
        </w:drawing>
      </w:r>
    </w:p>
    <w:p w:rsidR="00D62C58" w:rsidRPr="00D62C58" w:rsidRDefault="00D62C58" w:rsidP="00D138D5">
      <w:pPr>
        <w:jc w:val="center"/>
      </w:pPr>
      <w:proofErr w:type="gramStart"/>
      <w:r w:rsidRPr="00D62C58">
        <w:rPr>
          <w:b/>
        </w:rPr>
        <w:t>Figure 5</w:t>
      </w:r>
      <w:r w:rsidRPr="00D62C58">
        <w:t>.</w:t>
      </w:r>
      <w:proofErr w:type="gramEnd"/>
      <w:r w:rsidRPr="00D62C58">
        <w:t xml:space="preserve"> Model of beam centered on base</w:t>
      </w:r>
    </w:p>
    <w:p w:rsidR="00D138D5" w:rsidRDefault="00D138D5">
      <w:pPr>
        <w:rPr>
          <w:noProof/>
        </w:rPr>
      </w:pPr>
    </w:p>
    <w:p w:rsidR="00D138D5" w:rsidRDefault="0047237F">
      <w:pPr>
        <w:rPr>
          <w:noProof/>
        </w:rPr>
      </w:pPr>
      <w:r>
        <w:rPr>
          <w:noProof/>
        </w:rPr>
        <w:t>The same pressure was applied to this beam as used in the cantilever beam case. However, the dipslacement in all direction was fixed at the bottom face of the base. A similar strategy of mesh reinement was applied, however, only the elements in the beam and theare of the base closest were focused on. Figure 6 shows which surface elements were decreased in size and area extended approximately one third of the way into the base volume.</w:t>
      </w:r>
    </w:p>
    <w:p w:rsidR="0047237F" w:rsidRDefault="0047237F">
      <w:pPr>
        <w:rPr>
          <w:noProof/>
        </w:rPr>
      </w:pPr>
    </w:p>
    <w:p w:rsidR="00D138D5" w:rsidRDefault="00D138D5" w:rsidP="00D138D5">
      <w:pPr>
        <w:jc w:val="center"/>
        <w:rPr>
          <w:noProof/>
        </w:rPr>
      </w:pPr>
      <w:r>
        <w:rPr>
          <w:noProof/>
        </w:rPr>
        <w:drawing>
          <wp:inline distT="0" distB="0" distL="0" distR="0" wp14:anchorId="4DF3E649" wp14:editId="20D66373">
            <wp:extent cx="3495675" cy="26740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2674042"/>
                    </a:xfrm>
                    <a:prstGeom prst="rect">
                      <a:avLst/>
                    </a:prstGeom>
                    <a:noFill/>
                    <a:ln>
                      <a:noFill/>
                    </a:ln>
                  </pic:spPr>
                </pic:pic>
              </a:graphicData>
            </a:graphic>
          </wp:inline>
        </w:drawing>
      </w:r>
    </w:p>
    <w:p w:rsidR="00D138D5" w:rsidRDefault="007866DE" w:rsidP="007866DE">
      <w:pPr>
        <w:jc w:val="center"/>
        <w:rPr>
          <w:noProof/>
        </w:rPr>
      </w:pPr>
      <w:r w:rsidRPr="0047237F">
        <w:rPr>
          <w:b/>
          <w:noProof/>
        </w:rPr>
        <w:t>Figure 6</w:t>
      </w:r>
      <w:r>
        <w:rPr>
          <w:noProof/>
        </w:rPr>
        <w:t>.</w:t>
      </w:r>
      <w:r w:rsidR="0047237F">
        <w:rPr>
          <w:noProof/>
        </w:rPr>
        <w:t xml:space="preserve"> Beam centered on base with targeted mesh refinement</w:t>
      </w:r>
    </w:p>
    <w:p w:rsidR="007866DE" w:rsidRDefault="007866DE" w:rsidP="00D138D5">
      <w:pPr>
        <w:rPr>
          <w:noProof/>
        </w:rPr>
      </w:pPr>
    </w:p>
    <w:p w:rsidR="00D104C5" w:rsidRDefault="00E16453" w:rsidP="00D138D5">
      <w:pPr>
        <w:rPr>
          <w:noProof/>
        </w:rPr>
      </w:pPr>
      <w:r>
        <w:rPr>
          <w:noProof/>
        </w:rPr>
        <w:t>The solution was generated and the results plotted. Figure 7 shows a map of displacemtn varying from blue areas with little or no displacemnt and red for the areas of greatest displacement.</w:t>
      </w:r>
      <w:r w:rsidR="00110EDC">
        <w:rPr>
          <w:noProof/>
        </w:rPr>
        <w:t xml:space="preserve"> The maximum displac</w:t>
      </w:r>
      <w:r w:rsidR="00D611DA">
        <w:rPr>
          <w:noProof/>
        </w:rPr>
        <w:t>ement was also recorded and compared acationst the results of Eq. 3.</w:t>
      </w:r>
    </w:p>
    <w:p w:rsidR="00D138D5" w:rsidRDefault="00D138D5" w:rsidP="00D138D5">
      <w:pPr>
        <w:jc w:val="center"/>
        <w:rPr>
          <w:noProof/>
        </w:rPr>
      </w:pPr>
      <w:r>
        <w:rPr>
          <w:noProof/>
        </w:rPr>
        <w:drawing>
          <wp:inline distT="0" distB="0" distL="0" distR="0" wp14:anchorId="64632090" wp14:editId="49E52754">
            <wp:extent cx="3590925" cy="281749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2817495"/>
                    </a:xfrm>
                    <a:prstGeom prst="rect">
                      <a:avLst/>
                    </a:prstGeom>
                    <a:noFill/>
                    <a:ln>
                      <a:noFill/>
                    </a:ln>
                  </pic:spPr>
                </pic:pic>
              </a:graphicData>
            </a:graphic>
          </wp:inline>
        </w:drawing>
      </w:r>
    </w:p>
    <w:p w:rsidR="007866DE" w:rsidRDefault="007866DE" w:rsidP="00D138D5">
      <w:pPr>
        <w:jc w:val="center"/>
        <w:rPr>
          <w:noProof/>
        </w:rPr>
      </w:pPr>
      <w:r w:rsidRPr="00BF3274">
        <w:rPr>
          <w:b/>
          <w:noProof/>
        </w:rPr>
        <w:t>Figure 7</w:t>
      </w:r>
      <w:r>
        <w:rPr>
          <w:noProof/>
        </w:rPr>
        <w:t xml:space="preserve">. </w:t>
      </w:r>
      <w:r w:rsidR="00BF3274">
        <w:rPr>
          <w:noProof/>
        </w:rPr>
        <w:t>Displacement of the beam centered on base under applied pressure</w:t>
      </w:r>
    </w:p>
    <w:p w:rsidR="007866DE" w:rsidRDefault="007866DE" w:rsidP="007866DE">
      <w:pPr>
        <w:rPr>
          <w:noProof/>
        </w:rPr>
      </w:pPr>
    </w:p>
    <w:p w:rsidR="00D138D5" w:rsidRDefault="00110EDC">
      <w:pPr>
        <w:rPr>
          <w:noProof/>
        </w:rPr>
      </w:pPr>
      <w:r>
        <w:rPr>
          <w:noProof/>
        </w:rPr>
        <w:lastRenderedPageBreak/>
        <w:t xml:space="preserve">Finally, the pressure on the model was changed from 0.2 </w:t>
      </w:r>
      <w:proofErr w:type="gramStart"/>
      <w:r>
        <w:rPr>
          <w:noProof/>
        </w:rPr>
        <w:t xml:space="preserve">to 2 </w:t>
      </w:r>
      <w:proofErr w:type="spellStart"/>
      <w:r>
        <w:rPr>
          <w:rFonts w:eastAsiaTheme="minorEastAsia"/>
        </w:rPr>
        <w:t>nN</w:t>
      </w:r>
      <w:proofErr w:type="spellEnd"/>
      <w:r>
        <w:rPr>
          <w:rFonts w:eastAsiaTheme="minorEastAsia"/>
        </w:rPr>
        <w:t>/</w:t>
      </w:r>
      <m:oMath>
        <m:r>
          <w:rPr>
            <w:rFonts w:ascii="Cambria Math" w:hAnsi="Cambria Math"/>
          </w:rPr>
          <m:t>μ</m:t>
        </m:r>
      </m:oMath>
      <w:r>
        <w:t>m</w:t>
      </w:r>
      <w:proofErr w:type="gramEnd"/>
      <w:r>
        <w:t xml:space="preserve"> in intervals of 0.2 and the maximum displacement recorded for each. </w:t>
      </w:r>
      <w:r w:rsidR="00D611DA">
        <w:t>These values were then graphed and compared to the analytical relationship in Eq. 3.</w:t>
      </w:r>
    </w:p>
    <w:p w:rsidR="00D138D5" w:rsidRPr="000D68E5" w:rsidRDefault="00D138D5">
      <w:pPr>
        <w:rPr>
          <w:b/>
          <w:sz w:val="28"/>
        </w:rPr>
      </w:pPr>
    </w:p>
    <w:p w:rsidR="002420CA" w:rsidRPr="00A27435" w:rsidRDefault="002420CA">
      <w:pPr>
        <w:rPr>
          <w:b/>
          <w:sz w:val="28"/>
        </w:rPr>
      </w:pPr>
      <w:r w:rsidRPr="000D68E5">
        <w:rPr>
          <w:b/>
          <w:sz w:val="28"/>
        </w:rPr>
        <w:t>Results</w:t>
      </w:r>
    </w:p>
    <w:p w:rsidR="00156643" w:rsidRDefault="00156643">
      <w:r>
        <w:t>Substituting values into Eq. 3 yielded an analytical maximum displacement at the end of the beam of 0.1125x10</w:t>
      </w:r>
      <w:r>
        <w:rPr>
          <w:vertAlign w:val="superscript"/>
        </w:rPr>
        <w:t>-</w:t>
      </w:r>
      <w:r w:rsidR="004B459F">
        <w:rPr>
          <w:vertAlign w:val="superscript"/>
        </w:rPr>
        <w:t>5</w:t>
      </w:r>
      <w:r w:rsidRPr="00156643">
        <w:t xml:space="preserve"> </w:t>
      </w:r>
      <m:oMath>
        <m:r>
          <w:rPr>
            <w:rFonts w:ascii="Cambria Math" w:hAnsi="Cambria Math"/>
          </w:rPr>
          <m:t>μ</m:t>
        </m:r>
      </m:oMath>
      <w:r w:rsidRPr="00156643">
        <w:t>m</w:t>
      </w:r>
      <w:r>
        <w:t xml:space="preserve">. </w:t>
      </w:r>
      <w:r w:rsidR="004B459F">
        <w:t>modeling</w:t>
      </w:r>
      <w:r>
        <w:t xml:space="preserve"> the beam at a cantilever in ANSYS yielded a maximum displacement of 0.113</w:t>
      </w:r>
      <w:r>
        <w:t>x10</w:t>
      </w:r>
      <w:r>
        <w:rPr>
          <w:vertAlign w:val="superscript"/>
        </w:rPr>
        <w:t>-</w:t>
      </w:r>
      <w:r w:rsidR="004B459F">
        <w:rPr>
          <w:vertAlign w:val="superscript"/>
        </w:rPr>
        <w:t>5</w:t>
      </w:r>
      <w:r w:rsidRPr="00156643">
        <w:t xml:space="preserve"> </w:t>
      </w:r>
      <m:oMath>
        <m:r>
          <w:rPr>
            <w:rFonts w:ascii="Cambria Math" w:hAnsi="Cambria Math"/>
          </w:rPr>
          <m:t>μ</m:t>
        </m:r>
      </m:oMath>
      <w:r w:rsidRPr="00156643">
        <w:t>m</w:t>
      </w:r>
      <w:r>
        <w:t>. Using Eq. 4, the percent error was 0.44% for this case.</w:t>
      </w:r>
    </w:p>
    <w:p w:rsidR="004B459F" w:rsidRDefault="004B459F"/>
    <w:p w:rsidR="00156643" w:rsidRDefault="00156643" w:rsidP="0079337B">
      <w:pPr>
        <w:jc w:val="right"/>
        <w:rPr>
          <w:rFonts w:eastAsiaTheme="minorEastAsia"/>
        </w:rPr>
      </w:pPr>
      <m:oMath>
        <m:r>
          <w:rPr>
            <w:rFonts w:ascii="Cambria Math" w:hAnsi="Cambria Math"/>
          </w:rPr>
          <m:t xml:space="preserve">% error= </m:t>
        </m:r>
        <m:f>
          <m:fPr>
            <m:ctrlPr>
              <w:rPr>
                <w:rFonts w:ascii="Cambria Math" w:hAnsi="Cambria Math"/>
                <w:i/>
              </w:rPr>
            </m:ctrlPr>
          </m:fPr>
          <m:num>
            <m:d>
              <m:dPr>
                <m:begChr m:val="|"/>
                <m:endChr m:val="|"/>
                <m:ctrlPr>
                  <w:rPr>
                    <w:rFonts w:ascii="Cambria Math" w:hAnsi="Cambria Math"/>
                    <w:i/>
                  </w:rPr>
                </m:ctrlPr>
              </m:dPr>
              <m:e>
                <m:r>
                  <w:rPr>
                    <w:rFonts w:ascii="Cambria Math" w:hAnsi="Cambria Math"/>
                  </w:rPr>
                  <m:t>actual-theoretical</m:t>
                </m:r>
              </m:e>
            </m:d>
          </m:num>
          <m:den>
            <m:r>
              <w:rPr>
                <w:rFonts w:ascii="Cambria Math" w:hAnsi="Cambria Math"/>
              </w:rPr>
              <m:t>theoretical</m:t>
            </m:r>
          </m:den>
        </m:f>
        <m:r>
          <w:rPr>
            <w:rFonts w:ascii="Cambria Math" w:hAnsi="Cambria Math"/>
          </w:rPr>
          <m:t>x100</m:t>
        </m:r>
      </m:oMath>
      <w:r w:rsidR="0079337B">
        <w:rPr>
          <w:rFonts w:eastAsiaTheme="minorEastAsia"/>
        </w:rPr>
        <w:tab/>
      </w:r>
      <w:r w:rsidR="0079337B">
        <w:rPr>
          <w:rFonts w:eastAsiaTheme="minorEastAsia"/>
        </w:rPr>
        <w:tab/>
      </w:r>
      <w:r w:rsidR="0079337B">
        <w:rPr>
          <w:rFonts w:eastAsiaTheme="minorEastAsia"/>
        </w:rPr>
        <w:tab/>
      </w:r>
      <w:r w:rsidR="0079337B">
        <w:rPr>
          <w:rFonts w:eastAsiaTheme="minorEastAsia"/>
        </w:rPr>
        <w:tab/>
        <w:t xml:space="preserve"> (Eq. 4)</w:t>
      </w:r>
    </w:p>
    <w:p w:rsidR="004B459F" w:rsidRDefault="004B459F" w:rsidP="0079337B">
      <w:pPr>
        <w:jc w:val="right"/>
        <w:rPr>
          <w:rFonts w:eastAsiaTheme="minorEastAsia"/>
        </w:rPr>
      </w:pPr>
    </w:p>
    <w:p w:rsidR="004B459F" w:rsidRPr="00156643" w:rsidRDefault="004B459F" w:rsidP="004B459F">
      <w:r>
        <w:rPr>
          <w:rFonts w:eastAsiaTheme="minorEastAsia"/>
        </w:rPr>
        <w:t xml:space="preserve">Once the PDMS base was added to the beam, the maximum displacement was </w:t>
      </w:r>
      <w:r>
        <w:t>0.132</w:t>
      </w:r>
      <w:r>
        <w:t>x10</w:t>
      </w:r>
      <w:r>
        <w:rPr>
          <w:vertAlign w:val="superscript"/>
        </w:rPr>
        <w:t>-</w:t>
      </w:r>
      <w:r>
        <w:rPr>
          <w:vertAlign w:val="superscript"/>
        </w:rPr>
        <w:t>5</w:t>
      </w:r>
      <w:r w:rsidRPr="00156643">
        <w:t xml:space="preserve"> </w:t>
      </w:r>
      <m:oMath>
        <m:r>
          <w:rPr>
            <w:rFonts w:ascii="Cambria Math" w:hAnsi="Cambria Math"/>
          </w:rPr>
          <m:t>μ</m:t>
        </m:r>
      </m:oMath>
      <w:r w:rsidRPr="00156643">
        <w:t>m</w:t>
      </w:r>
      <w:r>
        <w:t>. The percent error in this case is 17.33%.</w:t>
      </w:r>
      <w:r w:rsidR="004242C9">
        <w:t xml:space="preserve"> </w:t>
      </w:r>
      <w:r w:rsidR="002B29EE">
        <w:t>The</w:t>
      </w:r>
      <w:r w:rsidR="00EA56A7">
        <w:t xml:space="preserve"> results from changing the applied pressure from </w:t>
      </w:r>
      <w:r w:rsidR="00EA56A7">
        <w:rPr>
          <w:noProof/>
        </w:rPr>
        <w:t xml:space="preserve">0.2 </w:t>
      </w:r>
      <w:proofErr w:type="gramStart"/>
      <w:r w:rsidR="00EA56A7">
        <w:rPr>
          <w:noProof/>
        </w:rPr>
        <w:t xml:space="preserve">to 2 </w:t>
      </w:r>
      <w:proofErr w:type="spellStart"/>
      <w:r w:rsidR="00EA56A7">
        <w:rPr>
          <w:rFonts w:eastAsiaTheme="minorEastAsia"/>
        </w:rPr>
        <w:t>nN</w:t>
      </w:r>
      <w:proofErr w:type="spellEnd"/>
      <w:r w:rsidR="00EA56A7">
        <w:rPr>
          <w:rFonts w:eastAsiaTheme="minorEastAsia"/>
        </w:rPr>
        <w:t>/</w:t>
      </w:r>
      <m:oMath>
        <m:r>
          <w:rPr>
            <w:rFonts w:ascii="Cambria Math" w:hAnsi="Cambria Math"/>
          </w:rPr>
          <m:t>μ</m:t>
        </m:r>
      </m:oMath>
      <w:r w:rsidR="00EA56A7">
        <w:t>m</w:t>
      </w:r>
      <w:proofErr w:type="gramEnd"/>
      <w:r w:rsidR="00EA56A7">
        <w:t xml:space="preserve"> in intervals of 0.2</w:t>
      </w:r>
      <w:r w:rsidR="00EA56A7">
        <w:t xml:space="preserve"> are recorded in Table 1 and graphed in Figure 8. The percent error was approximately 17% for all load cases.</w:t>
      </w:r>
    </w:p>
    <w:p w:rsidR="00156643" w:rsidRDefault="00156643"/>
    <w:p w:rsidR="00694541" w:rsidRDefault="0052796E" w:rsidP="0052796E">
      <w:pPr>
        <w:jc w:val="center"/>
      </w:pPr>
      <w:proofErr w:type="gramStart"/>
      <w:r w:rsidRPr="0052796E">
        <w:rPr>
          <w:b/>
        </w:rPr>
        <w:t>Table 1</w:t>
      </w:r>
      <w:r>
        <w:t>.</w:t>
      </w:r>
      <w:proofErr w:type="gramEnd"/>
      <w:r>
        <w:t xml:space="preserve"> Pressure applied and result</w:t>
      </w:r>
      <w:r w:rsidR="004242C9">
        <w:t>ing displacement at end of beam</w:t>
      </w:r>
    </w:p>
    <w:tbl>
      <w:tblPr>
        <w:tblStyle w:val="TableGrid"/>
        <w:tblW w:w="0" w:type="auto"/>
        <w:jc w:val="center"/>
        <w:tblLook w:val="04A0" w:firstRow="1" w:lastRow="0" w:firstColumn="1" w:lastColumn="0" w:noHBand="0" w:noVBand="1"/>
      </w:tblPr>
      <w:tblGrid>
        <w:gridCol w:w="2175"/>
        <w:gridCol w:w="2235"/>
        <w:gridCol w:w="2235"/>
        <w:gridCol w:w="1236"/>
      </w:tblGrid>
      <w:tr w:rsidR="004242C9" w:rsidRPr="006C01C1" w:rsidTr="004242C9">
        <w:trPr>
          <w:jc w:val="center"/>
        </w:trPr>
        <w:tc>
          <w:tcPr>
            <w:tcW w:w="2175" w:type="dxa"/>
          </w:tcPr>
          <w:p w:rsidR="004242C9" w:rsidRPr="00E12061" w:rsidRDefault="004242C9" w:rsidP="00E12061">
            <w:pPr>
              <w:jc w:val="center"/>
              <w:rPr>
                <w:b/>
              </w:rPr>
            </w:pPr>
            <w:r w:rsidRPr="00E12061">
              <w:rPr>
                <w:b/>
              </w:rPr>
              <w:t>Pressure</w:t>
            </w:r>
            <w:r w:rsidRPr="00E12061">
              <w:rPr>
                <w:b/>
              </w:rPr>
              <w:t xml:space="preserve"> (</w:t>
            </w:r>
            <w:proofErr w:type="spellStart"/>
            <w:r w:rsidRPr="00E12061">
              <w:rPr>
                <w:rFonts w:eastAsiaTheme="minorEastAsia"/>
                <w:b/>
              </w:rPr>
              <w:t>nN</w:t>
            </w:r>
            <w:proofErr w:type="spellEnd"/>
            <w:r w:rsidRPr="00E12061">
              <w:rPr>
                <w:rFonts w:eastAsiaTheme="minorEastAsia"/>
                <w:b/>
              </w:rPr>
              <w:t>/</w:t>
            </w:r>
            <m:oMath>
              <m:r>
                <m:rPr>
                  <m:sty m:val="bi"/>
                </m:rPr>
                <w:rPr>
                  <w:rFonts w:ascii="Cambria Math" w:hAnsi="Cambria Math"/>
                </w:rPr>
                <m:t>μ</m:t>
              </m:r>
            </m:oMath>
            <w:r w:rsidRPr="00E12061">
              <w:rPr>
                <w:b/>
              </w:rPr>
              <w:t>m</w:t>
            </w:r>
            <w:r w:rsidRPr="00E12061">
              <w:rPr>
                <w:b/>
              </w:rPr>
              <w:t>)</w:t>
            </w:r>
          </w:p>
        </w:tc>
        <w:tc>
          <w:tcPr>
            <w:tcW w:w="2235" w:type="dxa"/>
          </w:tcPr>
          <w:p w:rsidR="004242C9" w:rsidRPr="00E12061" w:rsidRDefault="004242C9" w:rsidP="00EA56A7">
            <w:pPr>
              <w:jc w:val="center"/>
              <w:rPr>
                <w:b/>
              </w:rPr>
            </w:pPr>
            <w:r>
              <w:rPr>
                <w:b/>
              </w:rPr>
              <w:t xml:space="preserve">Displacement </w:t>
            </w:r>
            <w:r w:rsidRPr="00E12061">
              <w:rPr>
                <w:b/>
              </w:rPr>
              <w:t>(</w:t>
            </w:r>
            <m:oMath>
              <m:r>
                <m:rPr>
                  <m:sty m:val="bi"/>
                </m:rPr>
                <w:rPr>
                  <w:rFonts w:ascii="Cambria Math" w:hAnsi="Cambria Math"/>
                </w:rPr>
                <m:t>μ</m:t>
              </m:r>
            </m:oMath>
            <w:r w:rsidRPr="00E12061">
              <w:rPr>
                <w:b/>
              </w:rPr>
              <w:t>m)</w:t>
            </w:r>
            <w:r>
              <w:rPr>
                <w:b/>
              </w:rPr>
              <w:t xml:space="preserve"> </w:t>
            </w:r>
            <w:r w:rsidR="00EA56A7">
              <w:rPr>
                <w:b/>
              </w:rPr>
              <w:t>[Analytical]</w:t>
            </w:r>
          </w:p>
        </w:tc>
        <w:tc>
          <w:tcPr>
            <w:tcW w:w="2235" w:type="dxa"/>
          </w:tcPr>
          <w:p w:rsidR="004242C9" w:rsidRPr="00E12061" w:rsidRDefault="004242C9" w:rsidP="00E12061">
            <w:pPr>
              <w:jc w:val="center"/>
              <w:rPr>
                <w:b/>
              </w:rPr>
            </w:pPr>
            <w:r w:rsidRPr="00E12061">
              <w:rPr>
                <w:b/>
              </w:rPr>
              <w:t>Displacement</w:t>
            </w:r>
            <w:r>
              <w:rPr>
                <w:b/>
              </w:rPr>
              <w:t xml:space="preserve"> </w:t>
            </w:r>
            <w:r w:rsidRPr="00E12061">
              <w:rPr>
                <w:b/>
              </w:rPr>
              <w:t>(</w:t>
            </w:r>
            <m:oMath>
              <m:r>
                <m:rPr>
                  <m:sty m:val="bi"/>
                </m:rPr>
                <w:rPr>
                  <w:rFonts w:ascii="Cambria Math" w:hAnsi="Cambria Math"/>
                </w:rPr>
                <m:t>μ</m:t>
              </m:r>
            </m:oMath>
            <w:r w:rsidRPr="00E12061">
              <w:rPr>
                <w:b/>
              </w:rPr>
              <w:t>m)</w:t>
            </w:r>
            <w:r w:rsidR="00EA56A7">
              <w:rPr>
                <w:b/>
              </w:rPr>
              <w:t xml:space="preserve">  [</w:t>
            </w:r>
            <w:r>
              <w:rPr>
                <w:b/>
              </w:rPr>
              <w:t>ANSYS</w:t>
            </w:r>
            <w:r w:rsidR="00EA56A7">
              <w:rPr>
                <w:b/>
              </w:rPr>
              <w:t>]</w:t>
            </w:r>
          </w:p>
        </w:tc>
        <w:tc>
          <w:tcPr>
            <w:tcW w:w="1236" w:type="dxa"/>
          </w:tcPr>
          <w:p w:rsidR="004242C9" w:rsidRPr="00E12061" w:rsidRDefault="004242C9" w:rsidP="00E12061">
            <w:pPr>
              <w:jc w:val="center"/>
              <w:rPr>
                <w:b/>
              </w:rPr>
            </w:pPr>
            <w:r>
              <w:rPr>
                <w:b/>
              </w:rPr>
              <w:t>% Error</w:t>
            </w:r>
          </w:p>
        </w:tc>
      </w:tr>
      <w:tr w:rsidR="004242C9" w:rsidRPr="006C01C1" w:rsidTr="004242C9">
        <w:trPr>
          <w:jc w:val="center"/>
        </w:trPr>
        <w:tc>
          <w:tcPr>
            <w:tcW w:w="2175" w:type="dxa"/>
          </w:tcPr>
          <w:p w:rsidR="004242C9" w:rsidRPr="006C01C1" w:rsidRDefault="004242C9" w:rsidP="00E12061">
            <w:pPr>
              <w:jc w:val="center"/>
            </w:pPr>
            <w:r w:rsidRPr="006C01C1">
              <w:t>.2</w:t>
            </w:r>
          </w:p>
        </w:tc>
        <w:tc>
          <w:tcPr>
            <w:tcW w:w="2235" w:type="dxa"/>
          </w:tcPr>
          <w:p w:rsidR="004242C9" w:rsidRPr="006C01C1" w:rsidRDefault="00582E6A" w:rsidP="00E12061">
            <w:pPr>
              <w:jc w:val="center"/>
            </w:pPr>
            <w:r>
              <w:t xml:space="preserve">.225 </w:t>
            </w:r>
            <w:r>
              <w:t>x10</w:t>
            </w:r>
            <w:r>
              <w:rPr>
                <w:vertAlign w:val="superscript"/>
              </w:rPr>
              <w:t>-6</w:t>
            </w:r>
          </w:p>
        </w:tc>
        <w:tc>
          <w:tcPr>
            <w:tcW w:w="2235" w:type="dxa"/>
          </w:tcPr>
          <w:p w:rsidR="004242C9" w:rsidRPr="00582E6A" w:rsidRDefault="00582E6A" w:rsidP="00E12061">
            <w:pPr>
              <w:jc w:val="center"/>
              <w:rPr>
                <w:vertAlign w:val="superscript"/>
              </w:rPr>
            </w:pPr>
            <w:r>
              <w:t>.264 x10</w:t>
            </w:r>
            <w:r>
              <w:rPr>
                <w:vertAlign w:val="superscript"/>
              </w:rPr>
              <w:t>-6</w:t>
            </w:r>
          </w:p>
        </w:tc>
        <w:tc>
          <w:tcPr>
            <w:tcW w:w="1236" w:type="dxa"/>
          </w:tcPr>
          <w:p w:rsidR="004242C9" w:rsidRPr="006C01C1" w:rsidRDefault="00582E6A" w:rsidP="00E12061">
            <w:pPr>
              <w:jc w:val="center"/>
            </w:pPr>
            <w:r>
              <w:t>17.33</w:t>
            </w:r>
          </w:p>
        </w:tc>
      </w:tr>
      <w:tr w:rsidR="004242C9" w:rsidRPr="006C01C1" w:rsidTr="004242C9">
        <w:trPr>
          <w:jc w:val="center"/>
        </w:trPr>
        <w:tc>
          <w:tcPr>
            <w:tcW w:w="2175" w:type="dxa"/>
          </w:tcPr>
          <w:p w:rsidR="004242C9" w:rsidRPr="006C01C1" w:rsidRDefault="004242C9" w:rsidP="00E12061">
            <w:pPr>
              <w:jc w:val="center"/>
            </w:pPr>
            <w:r w:rsidRPr="006C01C1">
              <w:t>.4</w:t>
            </w:r>
          </w:p>
        </w:tc>
        <w:tc>
          <w:tcPr>
            <w:tcW w:w="2235" w:type="dxa"/>
          </w:tcPr>
          <w:p w:rsidR="004242C9" w:rsidRPr="006C01C1" w:rsidRDefault="00582E6A" w:rsidP="00E12061">
            <w:pPr>
              <w:jc w:val="center"/>
            </w:pPr>
            <w:r>
              <w:t xml:space="preserve">.450 </w:t>
            </w:r>
            <w:r>
              <w:t>x10</w:t>
            </w:r>
            <w:r>
              <w:rPr>
                <w:vertAlign w:val="superscript"/>
              </w:rPr>
              <w:t>-6</w:t>
            </w:r>
          </w:p>
        </w:tc>
        <w:tc>
          <w:tcPr>
            <w:tcW w:w="2235" w:type="dxa"/>
          </w:tcPr>
          <w:p w:rsidR="004242C9" w:rsidRPr="006C01C1" w:rsidRDefault="00582E6A" w:rsidP="00582E6A">
            <w:pPr>
              <w:jc w:val="center"/>
            </w:pPr>
            <w:r>
              <w:t xml:space="preserve">.529 </w:t>
            </w:r>
            <w:r>
              <w:t>x10</w:t>
            </w:r>
            <w:r>
              <w:rPr>
                <w:vertAlign w:val="superscript"/>
              </w:rPr>
              <w:t>-6</w:t>
            </w:r>
          </w:p>
        </w:tc>
        <w:tc>
          <w:tcPr>
            <w:tcW w:w="1236" w:type="dxa"/>
          </w:tcPr>
          <w:p w:rsidR="004242C9" w:rsidRPr="006C01C1" w:rsidRDefault="00582E6A" w:rsidP="00E12061">
            <w:pPr>
              <w:jc w:val="center"/>
            </w:pPr>
            <w:r>
              <w:t>17.56</w:t>
            </w:r>
          </w:p>
        </w:tc>
      </w:tr>
      <w:tr w:rsidR="004242C9" w:rsidRPr="006C01C1" w:rsidTr="004242C9">
        <w:trPr>
          <w:jc w:val="center"/>
        </w:trPr>
        <w:tc>
          <w:tcPr>
            <w:tcW w:w="2175" w:type="dxa"/>
          </w:tcPr>
          <w:p w:rsidR="004242C9" w:rsidRPr="006C01C1" w:rsidRDefault="004242C9" w:rsidP="00E12061">
            <w:pPr>
              <w:jc w:val="center"/>
            </w:pPr>
            <w:r w:rsidRPr="006C01C1">
              <w:t>.6</w:t>
            </w:r>
          </w:p>
        </w:tc>
        <w:tc>
          <w:tcPr>
            <w:tcW w:w="2235" w:type="dxa"/>
          </w:tcPr>
          <w:p w:rsidR="004242C9" w:rsidRPr="006C01C1" w:rsidRDefault="00582E6A" w:rsidP="00E12061">
            <w:pPr>
              <w:jc w:val="center"/>
            </w:pPr>
            <w:r>
              <w:t xml:space="preserve">.675 </w:t>
            </w:r>
            <w:r>
              <w:t>x10</w:t>
            </w:r>
            <w:r>
              <w:rPr>
                <w:vertAlign w:val="superscript"/>
              </w:rPr>
              <w:t>-6</w:t>
            </w:r>
          </w:p>
        </w:tc>
        <w:tc>
          <w:tcPr>
            <w:tcW w:w="2235" w:type="dxa"/>
          </w:tcPr>
          <w:p w:rsidR="004242C9" w:rsidRPr="006C01C1" w:rsidRDefault="00582E6A" w:rsidP="00E12061">
            <w:pPr>
              <w:jc w:val="center"/>
            </w:pPr>
            <w:r>
              <w:t xml:space="preserve">.793 </w:t>
            </w:r>
            <w:r>
              <w:t>x10</w:t>
            </w:r>
            <w:r>
              <w:rPr>
                <w:vertAlign w:val="superscript"/>
              </w:rPr>
              <w:t>-6</w:t>
            </w:r>
          </w:p>
        </w:tc>
        <w:tc>
          <w:tcPr>
            <w:tcW w:w="1236" w:type="dxa"/>
          </w:tcPr>
          <w:p w:rsidR="004242C9" w:rsidRPr="006C01C1" w:rsidRDefault="00582E6A" w:rsidP="00E12061">
            <w:pPr>
              <w:jc w:val="center"/>
            </w:pPr>
            <w:r>
              <w:t>17.48</w:t>
            </w:r>
          </w:p>
        </w:tc>
      </w:tr>
      <w:tr w:rsidR="004242C9" w:rsidRPr="002420CA" w:rsidTr="004242C9">
        <w:trPr>
          <w:jc w:val="center"/>
        </w:trPr>
        <w:tc>
          <w:tcPr>
            <w:tcW w:w="2175" w:type="dxa"/>
          </w:tcPr>
          <w:p w:rsidR="004242C9" w:rsidRPr="006C01C1" w:rsidRDefault="004242C9" w:rsidP="00E12061">
            <w:pPr>
              <w:jc w:val="center"/>
            </w:pPr>
            <w:r w:rsidRPr="006C01C1">
              <w:t>.8</w:t>
            </w:r>
          </w:p>
        </w:tc>
        <w:tc>
          <w:tcPr>
            <w:tcW w:w="2235" w:type="dxa"/>
          </w:tcPr>
          <w:p w:rsidR="004242C9" w:rsidRPr="002420CA" w:rsidRDefault="00582E6A" w:rsidP="00E12061">
            <w:pPr>
              <w:jc w:val="center"/>
              <w:rPr>
                <w:lang w:val="it-IT"/>
              </w:rPr>
            </w:pPr>
            <w:r>
              <w:rPr>
                <w:lang w:val="it-IT"/>
              </w:rPr>
              <w:t>.900</w:t>
            </w:r>
            <w:r>
              <w:t xml:space="preserve"> </w:t>
            </w:r>
            <w:r>
              <w:t>x10</w:t>
            </w:r>
            <w:r>
              <w:rPr>
                <w:vertAlign w:val="superscript"/>
              </w:rPr>
              <w:t>-6</w:t>
            </w:r>
          </w:p>
        </w:tc>
        <w:tc>
          <w:tcPr>
            <w:tcW w:w="2235" w:type="dxa"/>
          </w:tcPr>
          <w:p w:rsidR="004242C9" w:rsidRPr="002420CA" w:rsidRDefault="00582E6A" w:rsidP="00E12061">
            <w:pPr>
              <w:jc w:val="center"/>
              <w:rPr>
                <w:lang w:val="it-IT"/>
              </w:rPr>
            </w:pPr>
            <w:r>
              <w:rPr>
                <w:lang w:val="it-IT"/>
              </w:rPr>
              <w:t>.106</w:t>
            </w:r>
            <w:r>
              <w:t xml:space="preserve"> </w:t>
            </w:r>
            <w:r>
              <w:t>x10</w:t>
            </w:r>
            <w:r>
              <w:rPr>
                <w:vertAlign w:val="superscript"/>
              </w:rPr>
              <w:t>-5</w:t>
            </w:r>
          </w:p>
        </w:tc>
        <w:tc>
          <w:tcPr>
            <w:tcW w:w="1236" w:type="dxa"/>
          </w:tcPr>
          <w:p w:rsidR="004242C9" w:rsidRPr="002420CA" w:rsidRDefault="00582E6A" w:rsidP="00E12061">
            <w:pPr>
              <w:jc w:val="center"/>
              <w:rPr>
                <w:lang w:val="it-IT"/>
              </w:rPr>
            </w:pPr>
            <w:r>
              <w:rPr>
                <w:lang w:val="it-IT"/>
              </w:rPr>
              <w:t>17.78</w:t>
            </w:r>
          </w:p>
        </w:tc>
      </w:tr>
      <w:tr w:rsidR="004242C9" w:rsidRPr="002420CA" w:rsidTr="004242C9">
        <w:trPr>
          <w:jc w:val="center"/>
        </w:trPr>
        <w:tc>
          <w:tcPr>
            <w:tcW w:w="2175" w:type="dxa"/>
          </w:tcPr>
          <w:p w:rsidR="004242C9" w:rsidRPr="002420CA" w:rsidRDefault="004242C9" w:rsidP="00E12061">
            <w:pPr>
              <w:jc w:val="center"/>
              <w:rPr>
                <w:lang w:val="it-IT"/>
              </w:rPr>
            </w:pPr>
            <w:r w:rsidRPr="002420CA">
              <w:rPr>
                <w:lang w:val="it-IT"/>
              </w:rPr>
              <w:t>1.0</w:t>
            </w:r>
          </w:p>
        </w:tc>
        <w:tc>
          <w:tcPr>
            <w:tcW w:w="2235" w:type="dxa"/>
          </w:tcPr>
          <w:p w:rsidR="004242C9" w:rsidRPr="002420CA" w:rsidRDefault="00582E6A" w:rsidP="00582E6A">
            <w:pPr>
              <w:jc w:val="center"/>
              <w:rPr>
                <w:lang w:val="it-IT"/>
              </w:rPr>
            </w:pPr>
            <w:r>
              <w:rPr>
                <w:lang w:val="it-IT"/>
              </w:rPr>
              <w:t>.1125</w:t>
            </w:r>
            <w:r>
              <w:t xml:space="preserve"> </w:t>
            </w:r>
            <w:r>
              <w:t>x10</w:t>
            </w:r>
            <w:r>
              <w:rPr>
                <w:vertAlign w:val="superscript"/>
              </w:rPr>
              <w:t>-</w:t>
            </w:r>
            <w:r>
              <w:rPr>
                <w:vertAlign w:val="superscript"/>
              </w:rPr>
              <w:t>5</w:t>
            </w:r>
          </w:p>
        </w:tc>
        <w:tc>
          <w:tcPr>
            <w:tcW w:w="2235" w:type="dxa"/>
          </w:tcPr>
          <w:p w:rsidR="004242C9" w:rsidRPr="002420CA" w:rsidRDefault="00582E6A" w:rsidP="00E12061">
            <w:pPr>
              <w:jc w:val="center"/>
              <w:rPr>
                <w:lang w:val="it-IT"/>
              </w:rPr>
            </w:pPr>
            <w:r>
              <w:rPr>
                <w:lang w:val="it-IT"/>
              </w:rPr>
              <w:t>.132</w:t>
            </w:r>
            <w:r>
              <w:t xml:space="preserve"> </w:t>
            </w:r>
            <w:r>
              <w:t>x10</w:t>
            </w:r>
            <w:r>
              <w:rPr>
                <w:vertAlign w:val="superscript"/>
              </w:rPr>
              <w:t>-5</w:t>
            </w:r>
          </w:p>
        </w:tc>
        <w:tc>
          <w:tcPr>
            <w:tcW w:w="1236" w:type="dxa"/>
          </w:tcPr>
          <w:p w:rsidR="004242C9" w:rsidRPr="002420CA" w:rsidRDefault="00582E6A" w:rsidP="00E12061">
            <w:pPr>
              <w:jc w:val="center"/>
              <w:rPr>
                <w:lang w:val="it-IT"/>
              </w:rPr>
            </w:pPr>
            <w:r>
              <w:rPr>
                <w:lang w:val="it-IT"/>
              </w:rPr>
              <w:t>17.33</w:t>
            </w:r>
          </w:p>
        </w:tc>
      </w:tr>
      <w:tr w:rsidR="004242C9" w:rsidRPr="00582E6A" w:rsidTr="004242C9">
        <w:trPr>
          <w:jc w:val="center"/>
        </w:trPr>
        <w:tc>
          <w:tcPr>
            <w:tcW w:w="2175" w:type="dxa"/>
          </w:tcPr>
          <w:p w:rsidR="004242C9" w:rsidRPr="002420CA" w:rsidRDefault="004242C9" w:rsidP="00E12061">
            <w:pPr>
              <w:jc w:val="center"/>
              <w:rPr>
                <w:lang w:val="it-IT"/>
              </w:rPr>
            </w:pPr>
            <w:r w:rsidRPr="002420CA">
              <w:rPr>
                <w:lang w:val="it-IT"/>
              </w:rPr>
              <w:t>1.2</w:t>
            </w:r>
          </w:p>
        </w:tc>
        <w:tc>
          <w:tcPr>
            <w:tcW w:w="2235" w:type="dxa"/>
          </w:tcPr>
          <w:p w:rsidR="004242C9" w:rsidRPr="002420CA" w:rsidRDefault="00582E6A" w:rsidP="00E12061">
            <w:pPr>
              <w:jc w:val="center"/>
              <w:rPr>
                <w:lang w:val="it-IT"/>
              </w:rPr>
            </w:pPr>
            <w:r>
              <w:rPr>
                <w:lang w:val="it-IT"/>
              </w:rPr>
              <w:t>.135</w:t>
            </w:r>
            <w:r w:rsidRPr="00582E6A">
              <w:rPr>
                <w:lang w:val="it-IT"/>
              </w:rPr>
              <w:t xml:space="preserve"> </w:t>
            </w:r>
            <w:r w:rsidRPr="00582E6A">
              <w:rPr>
                <w:lang w:val="it-IT"/>
              </w:rPr>
              <w:t>x10</w:t>
            </w:r>
            <w:r w:rsidRPr="00582E6A">
              <w:rPr>
                <w:vertAlign w:val="superscript"/>
                <w:lang w:val="it-IT"/>
              </w:rPr>
              <w:t>-5</w:t>
            </w:r>
          </w:p>
        </w:tc>
        <w:tc>
          <w:tcPr>
            <w:tcW w:w="2235" w:type="dxa"/>
          </w:tcPr>
          <w:p w:rsidR="004242C9" w:rsidRPr="002420CA" w:rsidRDefault="00582E6A" w:rsidP="00E12061">
            <w:pPr>
              <w:jc w:val="center"/>
              <w:rPr>
                <w:lang w:val="it-IT"/>
              </w:rPr>
            </w:pPr>
            <w:r>
              <w:rPr>
                <w:lang w:val="it-IT"/>
              </w:rPr>
              <w:t>.159</w:t>
            </w:r>
            <w:r w:rsidRPr="00582E6A">
              <w:rPr>
                <w:lang w:val="it-IT"/>
              </w:rPr>
              <w:t xml:space="preserve"> </w:t>
            </w:r>
            <w:r w:rsidRPr="00582E6A">
              <w:rPr>
                <w:lang w:val="it-IT"/>
              </w:rPr>
              <w:t>x10</w:t>
            </w:r>
            <w:r w:rsidRPr="00582E6A">
              <w:rPr>
                <w:vertAlign w:val="superscript"/>
                <w:lang w:val="it-IT"/>
              </w:rPr>
              <w:t>-5</w:t>
            </w:r>
          </w:p>
        </w:tc>
        <w:tc>
          <w:tcPr>
            <w:tcW w:w="1236" w:type="dxa"/>
          </w:tcPr>
          <w:p w:rsidR="004242C9" w:rsidRPr="002420CA" w:rsidRDefault="00582E6A" w:rsidP="00E12061">
            <w:pPr>
              <w:jc w:val="center"/>
              <w:rPr>
                <w:lang w:val="it-IT"/>
              </w:rPr>
            </w:pPr>
            <w:r>
              <w:rPr>
                <w:lang w:val="it-IT"/>
              </w:rPr>
              <w:t>17.78</w:t>
            </w:r>
          </w:p>
        </w:tc>
      </w:tr>
      <w:tr w:rsidR="004242C9" w:rsidRPr="00582E6A" w:rsidTr="004242C9">
        <w:trPr>
          <w:jc w:val="center"/>
        </w:trPr>
        <w:tc>
          <w:tcPr>
            <w:tcW w:w="2175" w:type="dxa"/>
          </w:tcPr>
          <w:p w:rsidR="004242C9" w:rsidRPr="002420CA" w:rsidRDefault="004242C9" w:rsidP="00E12061">
            <w:pPr>
              <w:jc w:val="center"/>
              <w:rPr>
                <w:lang w:val="it-IT"/>
              </w:rPr>
            </w:pPr>
            <w:r w:rsidRPr="002420CA">
              <w:rPr>
                <w:lang w:val="it-IT"/>
              </w:rPr>
              <w:t>1.4</w:t>
            </w:r>
          </w:p>
        </w:tc>
        <w:tc>
          <w:tcPr>
            <w:tcW w:w="2235" w:type="dxa"/>
          </w:tcPr>
          <w:p w:rsidR="004242C9" w:rsidRPr="002420CA" w:rsidRDefault="00582E6A" w:rsidP="00E12061">
            <w:pPr>
              <w:jc w:val="center"/>
              <w:rPr>
                <w:lang w:val="it-IT"/>
              </w:rPr>
            </w:pPr>
            <w:r>
              <w:rPr>
                <w:lang w:val="it-IT"/>
              </w:rPr>
              <w:t>.1575</w:t>
            </w:r>
            <w:r w:rsidRPr="00582E6A">
              <w:rPr>
                <w:lang w:val="it-IT"/>
              </w:rPr>
              <w:t xml:space="preserve"> </w:t>
            </w:r>
            <w:r w:rsidRPr="00582E6A">
              <w:rPr>
                <w:lang w:val="it-IT"/>
              </w:rPr>
              <w:t>x10</w:t>
            </w:r>
            <w:r w:rsidRPr="00582E6A">
              <w:rPr>
                <w:vertAlign w:val="superscript"/>
                <w:lang w:val="it-IT"/>
              </w:rPr>
              <w:t>-5</w:t>
            </w:r>
          </w:p>
        </w:tc>
        <w:tc>
          <w:tcPr>
            <w:tcW w:w="2235" w:type="dxa"/>
          </w:tcPr>
          <w:p w:rsidR="004242C9" w:rsidRPr="00582E6A" w:rsidRDefault="00582E6A" w:rsidP="00E12061">
            <w:pPr>
              <w:jc w:val="center"/>
              <w:rPr>
                <w:lang w:val="it-IT"/>
              </w:rPr>
            </w:pPr>
            <w:r>
              <w:rPr>
                <w:lang w:val="it-IT"/>
              </w:rPr>
              <w:t>.185</w:t>
            </w:r>
            <w:r w:rsidRPr="00582E6A">
              <w:rPr>
                <w:lang w:val="it-IT"/>
              </w:rPr>
              <w:t xml:space="preserve"> </w:t>
            </w:r>
            <w:r w:rsidRPr="00582E6A">
              <w:rPr>
                <w:lang w:val="it-IT"/>
              </w:rPr>
              <w:t>x10</w:t>
            </w:r>
            <w:r w:rsidRPr="00582E6A">
              <w:rPr>
                <w:vertAlign w:val="superscript"/>
                <w:lang w:val="it-IT"/>
              </w:rPr>
              <w:t>-5</w:t>
            </w:r>
          </w:p>
        </w:tc>
        <w:tc>
          <w:tcPr>
            <w:tcW w:w="1236" w:type="dxa"/>
          </w:tcPr>
          <w:p w:rsidR="004242C9" w:rsidRPr="002420CA" w:rsidRDefault="00582E6A" w:rsidP="00E12061">
            <w:pPr>
              <w:jc w:val="center"/>
              <w:rPr>
                <w:lang w:val="it-IT"/>
              </w:rPr>
            </w:pPr>
            <w:r>
              <w:rPr>
                <w:lang w:val="it-IT"/>
              </w:rPr>
              <w:t>17.46</w:t>
            </w:r>
          </w:p>
        </w:tc>
      </w:tr>
      <w:tr w:rsidR="004242C9" w:rsidRPr="00582E6A" w:rsidTr="004242C9">
        <w:trPr>
          <w:jc w:val="center"/>
        </w:trPr>
        <w:tc>
          <w:tcPr>
            <w:tcW w:w="2175" w:type="dxa"/>
          </w:tcPr>
          <w:p w:rsidR="004242C9" w:rsidRPr="00582E6A" w:rsidRDefault="004242C9" w:rsidP="00E12061">
            <w:pPr>
              <w:jc w:val="center"/>
              <w:rPr>
                <w:lang w:val="it-IT"/>
              </w:rPr>
            </w:pPr>
            <w:r w:rsidRPr="00582E6A">
              <w:rPr>
                <w:lang w:val="it-IT"/>
              </w:rPr>
              <w:t>1.6</w:t>
            </w:r>
          </w:p>
        </w:tc>
        <w:tc>
          <w:tcPr>
            <w:tcW w:w="2235" w:type="dxa"/>
          </w:tcPr>
          <w:p w:rsidR="004242C9" w:rsidRPr="00582E6A" w:rsidRDefault="00582E6A" w:rsidP="00E12061">
            <w:pPr>
              <w:jc w:val="center"/>
              <w:rPr>
                <w:lang w:val="it-IT"/>
              </w:rPr>
            </w:pPr>
            <w:r>
              <w:rPr>
                <w:lang w:val="it-IT"/>
              </w:rPr>
              <w:t>.180</w:t>
            </w:r>
            <w:r w:rsidRPr="00582E6A">
              <w:rPr>
                <w:lang w:val="it-IT"/>
              </w:rPr>
              <w:t xml:space="preserve"> </w:t>
            </w:r>
            <w:r w:rsidRPr="00582E6A">
              <w:rPr>
                <w:lang w:val="it-IT"/>
              </w:rPr>
              <w:t>x10</w:t>
            </w:r>
            <w:r w:rsidRPr="00582E6A">
              <w:rPr>
                <w:vertAlign w:val="superscript"/>
                <w:lang w:val="it-IT"/>
              </w:rPr>
              <w:t>-5</w:t>
            </w:r>
          </w:p>
        </w:tc>
        <w:tc>
          <w:tcPr>
            <w:tcW w:w="2235" w:type="dxa"/>
          </w:tcPr>
          <w:p w:rsidR="004242C9" w:rsidRPr="00582E6A" w:rsidRDefault="004242C9" w:rsidP="00E12061">
            <w:pPr>
              <w:jc w:val="center"/>
              <w:rPr>
                <w:lang w:val="it-IT"/>
              </w:rPr>
            </w:pPr>
            <w:r w:rsidRPr="00582E6A">
              <w:rPr>
                <w:lang w:val="it-IT"/>
              </w:rPr>
              <w:t>.212</w:t>
            </w:r>
            <w:r w:rsidR="00EA56A7" w:rsidRPr="00582E6A">
              <w:rPr>
                <w:lang w:val="it-IT"/>
              </w:rPr>
              <w:t xml:space="preserve"> </w:t>
            </w:r>
            <w:r w:rsidR="00EA56A7" w:rsidRPr="00582E6A">
              <w:rPr>
                <w:lang w:val="it-IT"/>
              </w:rPr>
              <w:t>x10</w:t>
            </w:r>
            <w:r w:rsidR="00EA56A7" w:rsidRPr="00582E6A">
              <w:rPr>
                <w:vertAlign w:val="superscript"/>
                <w:lang w:val="it-IT"/>
              </w:rPr>
              <w:t>-5</w:t>
            </w:r>
          </w:p>
        </w:tc>
        <w:tc>
          <w:tcPr>
            <w:tcW w:w="1236" w:type="dxa"/>
          </w:tcPr>
          <w:p w:rsidR="004242C9" w:rsidRPr="00582E6A" w:rsidRDefault="00582E6A" w:rsidP="00E12061">
            <w:pPr>
              <w:jc w:val="center"/>
              <w:rPr>
                <w:lang w:val="it-IT"/>
              </w:rPr>
            </w:pPr>
            <w:r>
              <w:rPr>
                <w:lang w:val="it-IT"/>
              </w:rPr>
              <w:t>17.78</w:t>
            </w:r>
          </w:p>
        </w:tc>
      </w:tr>
      <w:tr w:rsidR="004242C9" w:rsidRPr="00582E6A" w:rsidTr="004242C9">
        <w:trPr>
          <w:jc w:val="center"/>
        </w:trPr>
        <w:tc>
          <w:tcPr>
            <w:tcW w:w="2175" w:type="dxa"/>
          </w:tcPr>
          <w:p w:rsidR="004242C9" w:rsidRPr="00582E6A" w:rsidRDefault="004242C9" w:rsidP="00E12061">
            <w:pPr>
              <w:jc w:val="center"/>
              <w:rPr>
                <w:lang w:val="it-IT"/>
              </w:rPr>
            </w:pPr>
            <w:r w:rsidRPr="00582E6A">
              <w:rPr>
                <w:lang w:val="it-IT"/>
              </w:rPr>
              <w:t>1.8</w:t>
            </w:r>
          </w:p>
        </w:tc>
        <w:tc>
          <w:tcPr>
            <w:tcW w:w="2235" w:type="dxa"/>
          </w:tcPr>
          <w:p w:rsidR="004242C9" w:rsidRPr="00582E6A" w:rsidRDefault="00582E6A" w:rsidP="00E12061">
            <w:pPr>
              <w:jc w:val="center"/>
              <w:rPr>
                <w:lang w:val="it-IT"/>
              </w:rPr>
            </w:pPr>
            <w:r>
              <w:rPr>
                <w:lang w:val="it-IT"/>
              </w:rPr>
              <w:t>.2025</w:t>
            </w:r>
            <w:r w:rsidRPr="00582E6A">
              <w:rPr>
                <w:lang w:val="it-IT"/>
              </w:rPr>
              <w:t xml:space="preserve"> </w:t>
            </w:r>
            <w:r w:rsidRPr="00582E6A">
              <w:rPr>
                <w:lang w:val="it-IT"/>
              </w:rPr>
              <w:t>x10</w:t>
            </w:r>
            <w:r w:rsidRPr="00582E6A">
              <w:rPr>
                <w:vertAlign w:val="superscript"/>
                <w:lang w:val="it-IT"/>
              </w:rPr>
              <w:t>-5</w:t>
            </w:r>
          </w:p>
        </w:tc>
        <w:tc>
          <w:tcPr>
            <w:tcW w:w="2235" w:type="dxa"/>
          </w:tcPr>
          <w:p w:rsidR="004242C9" w:rsidRPr="00582E6A" w:rsidRDefault="004242C9" w:rsidP="00E12061">
            <w:pPr>
              <w:jc w:val="center"/>
              <w:rPr>
                <w:lang w:val="it-IT"/>
              </w:rPr>
            </w:pPr>
            <w:r w:rsidRPr="00582E6A">
              <w:rPr>
                <w:lang w:val="it-IT"/>
              </w:rPr>
              <w:t>.238</w:t>
            </w:r>
            <w:r w:rsidR="00EA56A7" w:rsidRPr="00582E6A">
              <w:rPr>
                <w:lang w:val="it-IT"/>
              </w:rPr>
              <w:t xml:space="preserve"> </w:t>
            </w:r>
            <w:r w:rsidR="00EA56A7" w:rsidRPr="00582E6A">
              <w:rPr>
                <w:lang w:val="it-IT"/>
              </w:rPr>
              <w:t>x10</w:t>
            </w:r>
            <w:r w:rsidR="00EA56A7" w:rsidRPr="00582E6A">
              <w:rPr>
                <w:vertAlign w:val="superscript"/>
                <w:lang w:val="it-IT"/>
              </w:rPr>
              <w:t>-5</w:t>
            </w:r>
          </w:p>
        </w:tc>
        <w:tc>
          <w:tcPr>
            <w:tcW w:w="1236" w:type="dxa"/>
          </w:tcPr>
          <w:p w:rsidR="004242C9" w:rsidRPr="00582E6A" w:rsidRDefault="00582E6A" w:rsidP="00E12061">
            <w:pPr>
              <w:jc w:val="center"/>
              <w:rPr>
                <w:lang w:val="it-IT"/>
              </w:rPr>
            </w:pPr>
            <w:r>
              <w:rPr>
                <w:lang w:val="it-IT"/>
              </w:rPr>
              <w:t>17.53</w:t>
            </w:r>
          </w:p>
        </w:tc>
      </w:tr>
      <w:tr w:rsidR="004242C9" w:rsidRPr="00582E6A" w:rsidTr="004242C9">
        <w:trPr>
          <w:jc w:val="center"/>
        </w:trPr>
        <w:tc>
          <w:tcPr>
            <w:tcW w:w="2175" w:type="dxa"/>
          </w:tcPr>
          <w:p w:rsidR="004242C9" w:rsidRPr="00582E6A" w:rsidRDefault="004242C9" w:rsidP="00E12061">
            <w:pPr>
              <w:jc w:val="center"/>
              <w:rPr>
                <w:lang w:val="it-IT"/>
              </w:rPr>
            </w:pPr>
            <w:r w:rsidRPr="00582E6A">
              <w:rPr>
                <w:lang w:val="it-IT"/>
              </w:rPr>
              <w:t>2</w:t>
            </w:r>
          </w:p>
        </w:tc>
        <w:tc>
          <w:tcPr>
            <w:tcW w:w="2235" w:type="dxa"/>
          </w:tcPr>
          <w:p w:rsidR="004242C9" w:rsidRPr="00582E6A" w:rsidRDefault="00582E6A" w:rsidP="00E12061">
            <w:pPr>
              <w:jc w:val="center"/>
              <w:rPr>
                <w:lang w:val="it-IT"/>
              </w:rPr>
            </w:pPr>
            <w:r>
              <w:rPr>
                <w:lang w:val="it-IT"/>
              </w:rPr>
              <w:t>.225</w:t>
            </w:r>
            <w:r w:rsidRPr="00582E6A">
              <w:rPr>
                <w:lang w:val="it-IT"/>
              </w:rPr>
              <w:t xml:space="preserve"> </w:t>
            </w:r>
            <w:r w:rsidRPr="00582E6A">
              <w:rPr>
                <w:lang w:val="it-IT"/>
              </w:rPr>
              <w:t>x10</w:t>
            </w:r>
            <w:r w:rsidRPr="00582E6A">
              <w:rPr>
                <w:vertAlign w:val="superscript"/>
                <w:lang w:val="it-IT"/>
              </w:rPr>
              <w:t>-5</w:t>
            </w:r>
          </w:p>
        </w:tc>
        <w:tc>
          <w:tcPr>
            <w:tcW w:w="2235" w:type="dxa"/>
          </w:tcPr>
          <w:p w:rsidR="004242C9" w:rsidRPr="00582E6A" w:rsidRDefault="00EA56A7" w:rsidP="00E12061">
            <w:pPr>
              <w:jc w:val="center"/>
              <w:rPr>
                <w:lang w:val="it-IT"/>
              </w:rPr>
            </w:pPr>
            <w:r>
              <w:rPr>
                <w:lang w:val="it-IT"/>
              </w:rPr>
              <w:t>.264</w:t>
            </w:r>
            <w:r w:rsidRPr="00582E6A">
              <w:rPr>
                <w:lang w:val="it-IT"/>
              </w:rPr>
              <w:t xml:space="preserve"> </w:t>
            </w:r>
            <w:r w:rsidRPr="00582E6A">
              <w:rPr>
                <w:lang w:val="it-IT"/>
              </w:rPr>
              <w:t>x10</w:t>
            </w:r>
            <w:r w:rsidRPr="00582E6A">
              <w:rPr>
                <w:vertAlign w:val="superscript"/>
                <w:lang w:val="it-IT"/>
              </w:rPr>
              <w:t>-5</w:t>
            </w:r>
          </w:p>
        </w:tc>
        <w:tc>
          <w:tcPr>
            <w:tcW w:w="1236" w:type="dxa"/>
          </w:tcPr>
          <w:p w:rsidR="004242C9" w:rsidRPr="00582E6A" w:rsidRDefault="00582E6A" w:rsidP="00E12061">
            <w:pPr>
              <w:jc w:val="center"/>
              <w:rPr>
                <w:lang w:val="it-IT"/>
              </w:rPr>
            </w:pPr>
            <w:r>
              <w:rPr>
                <w:lang w:val="it-IT"/>
              </w:rPr>
              <w:t>17.33</w:t>
            </w:r>
          </w:p>
        </w:tc>
      </w:tr>
    </w:tbl>
    <w:p w:rsidR="00035F16" w:rsidRDefault="00035F16">
      <w:pPr>
        <w:rPr>
          <w:lang w:val="it-IT"/>
        </w:rPr>
      </w:pPr>
    </w:p>
    <w:p w:rsidR="00EA56A7" w:rsidRDefault="00EA56A7" w:rsidP="00CE2B81">
      <w:pPr>
        <w:jc w:val="center"/>
        <w:rPr>
          <w:lang w:val="it-IT"/>
        </w:rPr>
      </w:pPr>
      <w:r>
        <w:rPr>
          <w:noProof/>
        </w:rPr>
        <w:lastRenderedPageBreak/>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2B81" w:rsidRDefault="00CE2B81" w:rsidP="00CE2B81">
      <w:pPr>
        <w:jc w:val="center"/>
      </w:pPr>
      <w:proofErr w:type="gramStart"/>
      <w:r w:rsidRPr="00CE2B81">
        <w:rPr>
          <w:b/>
        </w:rPr>
        <w:t>Figure 8</w:t>
      </w:r>
      <w:r w:rsidRPr="00CE2B81">
        <w:t>.</w:t>
      </w:r>
      <w:proofErr w:type="gramEnd"/>
      <w:r w:rsidRPr="00CE2B81">
        <w:t xml:space="preserve"> Applied pressure vs. </w:t>
      </w:r>
      <w:r>
        <w:t>displacement</w:t>
      </w:r>
    </w:p>
    <w:p w:rsidR="002B29EE" w:rsidRPr="00CE2B81" w:rsidRDefault="002B29EE" w:rsidP="00CE2B81">
      <w:pPr>
        <w:jc w:val="center"/>
      </w:pPr>
    </w:p>
    <w:p w:rsidR="002420CA" w:rsidRPr="00CE2B81" w:rsidRDefault="002420CA">
      <w:pPr>
        <w:rPr>
          <w:b/>
          <w:sz w:val="28"/>
        </w:rPr>
      </w:pPr>
      <w:r w:rsidRPr="000F1744">
        <w:rPr>
          <w:b/>
          <w:sz w:val="28"/>
        </w:rPr>
        <w:t>Discussion</w:t>
      </w:r>
    </w:p>
    <w:p w:rsidR="000C6A9D" w:rsidRPr="00CE2B81" w:rsidRDefault="002B29EE">
      <w:r>
        <w:t xml:space="preserve">Comparing results from the two ANSYS models and the analytical solution reveals the relationship between the cantilevered beam and the beam attached to a PDMS base. ANSYS was able to produce the expected result for a cantilevered beam with only a 0.44% error, but had a 17% error with the base added. This model had a fairly fine mesh, so though further refinement may have yielded as smaller error it would have drastically increased the running time on the computer for only a small improvement in accuracy. </w:t>
      </w:r>
      <w:r w:rsidR="003F65C6">
        <w:t xml:space="preserve">The both configurations produced linear relationships between applied force or pressure and the displacement at the end of the beam. This means that both exhibit the same behavior patterns under varied loading, but that there is some error in the magnitude of the results. Ultimately, determining if it is a valid assumption to model the micropost as a cantilever beam will depend on the desired accuracy of the results.  </w:t>
      </w:r>
    </w:p>
    <w:p w:rsidR="00694541" w:rsidRPr="00CE2B81" w:rsidRDefault="00694541"/>
    <w:p w:rsidR="002420CA" w:rsidRPr="00CE2B81" w:rsidRDefault="002420CA">
      <w:pPr>
        <w:rPr>
          <w:b/>
          <w:sz w:val="28"/>
        </w:rPr>
      </w:pPr>
      <w:r w:rsidRPr="006F78E9">
        <w:rPr>
          <w:b/>
          <w:sz w:val="28"/>
        </w:rPr>
        <w:t>Conclusion</w:t>
      </w:r>
    </w:p>
    <w:p w:rsidR="003F2664" w:rsidRPr="00CE2B81" w:rsidRDefault="006F78E9">
      <w:r>
        <w:t xml:space="preserve">This report uses finite element analysis software to demonstrate that a PDSM micropost can be modeled as a cantilever beam. However, this assumption is only valid if being used to study trends in results and is not valid if precise numerical results are needed. This is because the actual microposts are mounted to a PDSM base structure and although the same liner relationship between applied force and the maxim displacement is present, the error is amount of displacement is over 17%. </w:t>
      </w:r>
    </w:p>
    <w:sectPr w:rsidR="003F2664" w:rsidRPr="00CE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C1"/>
    <w:rsid w:val="000051CC"/>
    <w:rsid w:val="00033C7A"/>
    <w:rsid w:val="00035F16"/>
    <w:rsid w:val="000C6A9D"/>
    <w:rsid w:val="000D68E5"/>
    <w:rsid w:val="000E1A0D"/>
    <w:rsid w:val="000F1744"/>
    <w:rsid w:val="00110EDC"/>
    <w:rsid w:val="001305C6"/>
    <w:rsid w:val="00156643"/>
    <w:rsid w:val="002420CA"/>
    <w:rsid w:val="002B29EE"/>
    <w:rsid w:val="002C7910"/>
    <w:rsid w:val="002F59D5"/>
    <w:rsid w:val="003D03AE"/>
    <w:rsid w:val="003E0D3B"/>
    <w:rsid w:val="003F2664"/>
    <w:rsid w:val="003F65C6"/>
    <w:rsid w:val="004242C9"/>
    <w:rsid w:val="0047237F"/>
    <w:rsid w:val="00495FD0"/>
    <w:rsid w:val="004B459F"/>
    <w:rsid w:val="0052796E"/>
    <w:rsid w:val="00582E6A"/>
    <w:rsid w:val="005A0782"/>
    <w:rsid w:val="005B23C1"/>
    <w:rsid w:val="005B62C2"/>
    <w:rsid w:val="00634E3D"/>
    <w:rsid w:val="006838DC"/>
    <w:rsid w:val="0069337D"/>
    <w:rsid w:val="00694541"/>
    <w:rsid w:val="006C01C1"/>
    <w:rsid w:val="006F78E9"/>
    <w:rsid w:val="00721F81"/>
    <w:rsid w:val="007866DE"/>
    <w:rsid w:val="0079337B"/>
    <w:rsid w:val="008C5D5B"/>
    <w:rsid w:val="009B0C71"/>
    <w:rsid w:val="00A17BD0"/>
    <w:rsid w:val="00A27435"/>
    <w:rsid w:val="00A42525"/>
    <w:rsid w:val="00A76233"/>
    <w:rsid w:val="00A84090"/>
    <w:rsid w:val="00BF3274"/>
    <w:rsid w:val="00CA1C51"/>
    <w:rsid w:val="00CB4BB6"/>
    <w:rsid w:val="00CE2B81"/>
    <w:rsid w:val="00D104C5"/>
    <w:rsid w:val="00D138D5"/>
    <w:rsid w:val="00D2448B"/>
    <w:rsid w:val="00D611DA"/>
    <w:rsid w:val="00D62C58"/>
    <w:rsid w:val="00D64868"/>
    <w:rsid w:val="00D840A8"/>
    <w:rsid w:val="00E12061"/>
    <w:rsid w:val="00E16453"/>
    <w:rsid w:val="00EA56A7"/>
    <w:rsid w:val="00EF6F99"/>
    <w:rsid w:val="00F6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5B23C1"/>
    <w:rPr>
      <w:rFonts w:ascii="Tahoma" w:hAnsi="Tahoma" w:cs="Tahoma"/>
      <w:sz w:val="16"/>
      <w:szCs w:val="16"/>
    </w:rPr>
  </w:style>
  <w:style w:type="character" w:customStyle="1" w:styleId="BalloonTextChar">
    <w:name w:val="Balloon Text Char"/>
    <w:basedOn w:val="DefaultParagraphFont"/>
    <w:link w:val="BalloonText"/>
    <w:uiPriority w:val="99"/>
    <w:semiHidden/>
    <w:rsid w:val="005B23C1"/>
    <w:rPr>
      <w:rFonts w:ascii="Tahoma" w:hAnsi="Tahoma" w:cs="Tahoma"/>
      <w:sz w:val="16"/>
      <w:szCs w:val="16"/>
    </w:rPr>
  </w:style>
  <w:style w:type="table" w:styleId="TableGrid">
    <w:name w:val="Table Grid"/>
    <w:basedOn w:val="TableNormal"/>
    <w:uiPriority w:val="59"/>
    <w:rsid w:val="003F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45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A"/>
    <w:rPr>
      <w:sz w:val="24"/>
      <w:szCs w:val="24"/>
    </w:rPr>
  </w:style>
  <w:style w:type="paragraph" w:styleId="Heading1">
    <w:name w:val="heading 1"/>
    <w:basedOn w:val="Normal"/>
    <w:next w:val="Normal"/>
    <w:link w:val="Heading1Char"/>
    <w:uiPriority w:val="9"/>
    <w:qFormat/>
    <w:rsid w:val="00033C7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3C7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3C7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3C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3C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3C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3C7A"/>
    <w:pPr>
      <w:spacing w:before="240" w:after="60"/>
      <w:outlineLvl w:val="6"/>
    </w:pPr>
  </w:style>
  <w:style w:type="paragraph" w:styleId="Heading8">
    <w:name w:val="heading 8"/>
    <w:basedOn w:val="Normal"/>
    <w:next w:val="Normal"/>
    <w:link w:val="Heading8Char"/>
    <w:uiPriority w:val="9"/>
    <w:semiHidden/>
    <w:unhideWhenUsed/>
    <w:qFormat/>
    <w:rsid w:val="00033C7A"/>
    <w:pPr>
      <w:spacing w:before="240" w:after="60"/>
      <w:outlineLvl w:val="7"/>
    </w:pPr>
    <w:rPr>
      <w:i/>
      <w:iCs/>
    </w:rPr>
  </w:style>
  <w:style w:type="paragraph" w:styleId="Heading9">
    <w:name w:val="heading 9"/>
    <w:basedOn w:val="Normal"/>
    <w:next w:val="Normal"/>
    <w:link w:val="Heading9Char"/>
    <w:uiPriority w:val="9"/>
    <w:semiHidden/>
    <w:unhideWhenUsed/>
    <w:qFormat/>
    <w:rsid w:val="00033C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C7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3C7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3C7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3C7A"/>
    <w:rPr>
      <w:b/>
      <w:bCs/>
      <w:sz w:val="28"/>
      <w:szCs w:val="28"/>
    </w:rPr>
  </w:style>
  <w:style w:type="character" w:customStyle="1" w:styleId="Heading5Char">
    <w:name w:val="Heading 5 Char"/>
    <w:basedOn w:val="DefaultParagraphFont"/>
    <w:link w:val="Heading5"/>
    <w:uiPriority w:val="9"/>
    <w:semiHidden/>
    <w:rsid w:val="00033C7A"/>
    <w:rPr>
      <w:b/>
      <w:bCs/>
      <w:i/>
      <w:iCs/>
      <w:sz w:val="26"/>
      <w:szCs w:val="26"/>
    </w:rPr>
  </w:style>
  <w:style w:type="character" w:customStyle="1" w:styleId="Heading6Char">
    <w:name w:val="Heading 6 Char"/>
    <w:basedOn w:val="DefaultParagraphFont"/>
    <w:link w:val="Heading6"/>
    <w:uiPriority w:val="9"/>
    <w:semiHidden/>
    <w:rsid w:val="00033C7A"/>
    <w:rPr>
      <w:b/>
      <w:bCs/>
    </w:rPr>
  </w:style>
  <w:style w:type="character" w:customStyle="1" w:styleId="Heading7Char">
    <w:name w:val="Heading 7 Char"/>
    <w:basedOn w:val="DefaultParagraphFont"/>
    <w:link w:val="Heading7"/>
    <w:uiPriority w:val="9"/>
    <w:semiHidden/>
    <w:rsid w:val="00033C7A"/>
    <w:rPr>
      <w:sz w:val="24"/>
      <w:szCs w:val="24"/>
    </w:rPr>
  </w:style>
  <w:style w:type="character" w:customStyle="1" w:styleId="Heading8Char">
    <w:name w:val="Heading 8 Char"/>
    <w:basedOn w:val="DefaultParagraphFont"/>
    <w:link w:val="Heading8"/>
    <w:uiPriority w:val="9"/>
    <w:semiHidden/>
    <w:rsid w:val="00033C7A"/>
    <w:rPr>
      <w:i/>
      <w:iCs/>
      <w:sz w:val="24"/>
      <w:szCs w:val="24"/>
    </w:rPr>
  </w:style>
  <w:style w:type="character" w:customStyle="1" w:styleId="Heading9Char">
    <w:name w:val="Heading 9 Char"/>
    <w:basedOn w:val="DefaultParagraphFont"/>
    <w:link w:val="Heading9"/>
    <w:uiPriority w:val="9"/>
    <w:semiHidden/>
    <w:rsid w:val="00033C7A"/>
    <w:rPr>
      <w:rFonts w:asciiTheme="majorHAnsi" w:eastAsiaTheme="majorEastAsia" w:hAnsiTheme="majorHAnsi"/>
    </w:rPr>
  </w:style>
  <w:style w:type="paragraph" w:styleId="Title">
    <w:name w:val="Title"/>
    <w:basedOn w:val="Normal"/>
    <w:next w:val="Normal"/>
    <w:link w:val="TitleChar"/>
    <w:uiPriority w:val="10"/>
    <w:qFormat/>
    <w:rsid w:val="00033C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3C7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3C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3C7A"/>
    <w:rPr>
      <w:rFonts w:asciiTheme="majorHAnsi" w:eastAsiaTheme="majorEastAsia" w:hAnsiTheme="majorHAnsi"/>
      <w:sz w:val="24"/>
      <w:szCs w:val="24"/>
    </w:rPr>
  </w:style>
  <w:style w:type="character" w:styleId="Strong">
    <w:name w:val="Strong"/>
    <w:basedOn w:val="DefaultParagraphFont"/>
    <w:uiPriority w:val="22"/>
    <w:qFormat/>
    <w:rsid w:val="00033C7A"/>
    <w:rPr>
      <w:b/>
      <w:bCs/>
    </w:rPr>
  </w:style>
  <w:style w:type="character" w:styleId="Emphasis">
    <w:name w:val="Emphasis"/>
    <w:basedOn w:val="DefaultParagraphFont"/>
    <w:uiPriority w:val="20"/>
    <w:qFormat/>
    <w:rsid w:val="00033C7A"/>
    <w:rPr>
      <w:rFonts w:asciiTheme="minorHAnsi" w:hAnsiTheme="minorHAnsi"/>
      <w:b/>
      <w:i/>
      <w:iCs/>
    </w:rPr>
  </w:style>
  <w:style w:type="paragraph" w:styleId="NoSpacing">
    <w:name w:val="No Spacing"/>
    <w:basedOn w:val="Normal"/>
    <w:uiPriority w:val="1"/>
    <w:qFormat/>
    <w:rsid w:val="00033C7A"/>
    <w:rPr>
      <w:szCs w:val="32"/>
    </w:rPr>
  </w:style>
  <w:style w:type="paragraph" w:styleId="ListParagraph">
    <w:name w:val="List Paragraph"/>
    <w:basedOn w:val="Normal"/>
    <w:uiPriority w:val="34"/>
    <w:qFormat/>
    <w:rsid w:val="00033C7A"/>
    <w:pPr>
      <w:ind w:left="720"/>
      <w:contextualSpacing/>
    </w:pPr>
  </w:style>
  <w:style w:type="paragraph" w:styleId="Quote">
    <w:name w:val="Quote"/>
    <w:basedOn w:val="Normal"/>
    <w:next w:val="Normal"/>
    <w:link w:val="QuoteChar"/>
    <w:uiPriority w:val="29"/>
    <w:qFormat/>
    <w:rsid w:val="00033C7A"/>
    <w:rPr>
      <w:i/>
    </w:rPr>
  </w:style>
  <w:style w:type="character" w:customStyle="1" w:styleId="QuoteChar">
    <w:name w:val="Quote Char"/>
    <w:basedOn w:val="DefaultParagraphFont"/>
    <w:link w:val="Quote"/>
    <w:uiPriority w:val="29"/>
    <w:rsid w:val="00033C7A"/>
    <w:rPr>
      <w:i/>
      <w:sz w:val="24"/>
      <w:szCs w:val="24"/>
    </w:rPr>
  </w:style>
  <w:style w:type="paragraph" w:styleId="IntenseQuote">
    <w:name w:val="Intense Quote"/>
    <w:basedOn w:val="Normal"/>
    <w:next w:val="Normal"/>
    <w:link w:val="IntenseQuoteChar"/>
    <w:uiPriority w:val="30"/>
    <w:qFormat/>
    <w:rsid w:val="00033C7A"/>
    <w:pPr>
      <w:ind w:left="720" w:right="720"/>
    </w:pPr>
    <w:rPr>
      <w:b/>
      <w:i/>
      <w:szCs w:val="22"/>
    </w:rPr>
  </w:style>
  <w:style w:type="character" w:customStyle="1" w:styleId="IntenseQuoteChar">
    <w:name w:val="Intense Quote Char"/>
    <w:basedOn w:val="DefaultParagraphFont"/>
    <w:link w:val="IntenseQuote"/>
    <w:uiPriority w:val="30"/>
    <w:rsid w:val="00033C7A"/>
    <w:rPr>
      <w:b/>
      <w:i/>
      <w:sz w:val="24"/>
    </w:rPr>
  </w:style>
  <w:style w:type="character" w:styleId="SubtleEmphasis">
    <w:name w:val="Subtle Emphasis"/>
    <w:uiPriority w:val="19"/>
    <w:qFormat/>
    <w:rsid w:val="00033C7A"/>
    <w:rPr>
      <w:i/>
      <w:color w:val="5A5A5A" w:themeColor="text1" w:themeTint="A5"/>
    </w:rPr>
  </w:style>
  <w:style w:type="character" w:styleId="IntenseEmphasis">
    <w:name w:val="Intense Emphasis"/>
    <w:basedOn w:val="DefaultParagraphFont"/>
    <w:uiPriority w:val="21"/>
    <w:qFormat/>
    <w:rsid w:val="00033C7A"/>
    <w:rPr>
      <w:b/>
      <w:i/>
      <w:sz w:val="24"/>
      <w:szCs w:val="24"/>
      <w:u w:val="single"/>
    </w:rPr>
  </w:style>
  <w:style w:type="character" w:styleId="SubtleReference">
    <w:name w:val="Subtle Reference"/>
    <w:basedOn w:val="DefaultParagraphFont"/>
    <w:uiPriority w:val="31"/>
    <w:qFormat/>
    <w:rsid w:val="00033C7A"/>
    <w:rPr>
      <w:sz w:val="24"/>
      <w:szCs w:val="24"/>
      <w:u w:val="single"/>
    </w:rPr>
  </w:style>
  <w:style w:type="character" w:styleId="IntenseReference">
    <w:name w:val="Intense Reference"/>
    <w:basedOn w:val="DefaultParagraphFont"/>
    <w:uiPriority w:val="32"/>
    <w:qFormat/>
    <w:rsid w:val="00033C7A"/>
    <w:rPr>
      <w:b/>
      <w:sz w:val="24"/>
      <w:u w:val="single"/>
    </w:rPr>
  </w:style>
  <w:style w:type="character" w:styleId="BookTitle">
    <w:name w:val="Book Title"/>
    <w:basedOn w:val="DefaultParagraphFont"/>
    <w:uiPriority w:val="33"/>
    <w:qFormat/>
    <w:rsid w:val="00033C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3C7A"/>
    <w:pPr>
      <w:outlineLvl w:val="9"/>
    </w:pPr>
  </w:style>
  <w:style w:type="paragraph" w:styleId="BalloonText">
    <w:name w:val="Balloon Text"/>
    <w:basedOn w:val="Normal"/>
    <w:link w:val="BalloonTextChar"/>
    <w:uiPriority w:val="99"/>
    <w:semiHidden/>
    <w:unhideWhenUsed/>
    <w:rsid w:val="005B23C1"/>
    <w:rPr>
      <w:rFonts w:ascii="Tahoma" w:hAnsi="Tahoma" w:cs="Tahoma"/>
      <w:sz w:val="16"/>
      <w:szCs w:val="16"/>
    </w:rPr>
  </w:style>
  <w:style w:type="character" w:customStyle="1" w:styleId="BalloonTextChar">
    <w:name w:val="Balloon Text Char"/>
    <w:basedOn w:val="DefaultParagraphFont"/>
    <w:link w:val="BalloonText"/>
    <w:uiPriority w:val="99"/>
    <w:semiHidden/>
    <w:rsid w:val="005B23C1"/>
    <w:rPr>
      <w:rFonts w:ascii="Tahoma" w:hAnsi="Tahoma" w:cs="Tahoma"/>
      <w:sz w:val="16"/>
      <w:szCs w:val="16"/>
    </w:rPr>
  </w:style>
  <w:style w:type="table" w:styleId="TableGrid">
    <w:name w:val="Table Grid"/>
    <w:basedOn w:val="TableNormal"/>
    <w:uiPriority w:val="59"/>
    <w:rsid w:val="003F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4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Sheet1!$B$1</c:f>
              <c:strCache>
                <c:ptCount val="1"/>
                <c:pt idx="0">
                  <c:v>Analytical</c:v>
                </c:pt>
              </c:strCache>
            </c:strRef>
          </c:tx>
          <c:marker>
            <c:symbol val="circle"/>
            <c:size val="7"/>
            <c:spPr>
              <a:solidFill>
                <a:schemeClr val="accent1"/>
              </a:solidFill>
            </c:spPr>
          </c:marker>
          <c:xVal>
            <c:numRef>
              <c:f>Sheet1!$A$2:$A$11</c:f>
              <c:numCache>
                <c:formatCode>General</c:formatCode>
                <c:ptCount val="10"/>
                <c:pt idx="0">
                  <c:v>0.2</c:v>
                </c:pt>
                <c:pt idx="1">
                  <c:v>0.4</c:v>
                </c:pt>
                <c:pt idx="2">
                  <c:v>0.6</c:v>
                </c:pt>
                <c:pt idx="3">
                  <c:v>0.8</c:v>
                </c:pt>
                <c:pt idx="4">
                  <c:v>1</c:v>
                </c:pt>
                <c:pt idx="5">
                  <c:v>1.2</c:v>
                </c:pt>
                <c:pt idx="6">
                  <c:v>1.4</c:v>
                </c:pt>
                <c:pt idx="7">
                  <c:v>1.6</c:v>
                </c:pt>
                <c:pt idx="8">
                  <c:v>1.8</c:v>
                </c:pt>
                <c:pt idx="9">
                  <c:v>2</c:v>
                </c:pt>
              </c:numCache>
            </c:numRef>
          </c:xVal>
          <c:yVal>
            <c:numRef>
              <c:f>Sheet1!$B$2:$B$11</c:f>
              <c:numCache>
                <c:formatCode>0.00E+00</c:formatCode>
                <c:ptCount val="10"/>
                <c:pt idx="0">
                  <c:v>2.2499999999999999E-7</c:v>
                </c:pt>
                <c:pt idx="1">
                  <c:v>4.4999999999999998E-7</c:v>
                </c:pt>
                <c:pt idx="2">
                  <c:v>6.75E-7</c:v>
                </c:pt>
                <c:pt idx="3">
                  <c:v>8.9999999999999996E-7</c:v>
                </c:pt>
                <c:pt idx="4">
                  <c:v>1.125E-6</c:v>
                </c:pt>
                <c:pt idx="5">
                  <c:v>1.35E-6</c:v>
                </c:pt>
                <c:pt idx="6">
                  <c:v>1.575E-6</c:v>
                </c:pt>
                <c:pt idx="7">
                  <c:v>1.7999999999999999E-6</c:v>
                </c:pt>
                <c:pt idx="8">
                  <c:v>2.0250000000000001E-6</c:v>
                </c:pt>
                <c:pt idx="9">
                  <c:v>2.2500000000000001E-6</c:v>
                </c:pt>
              </c:numCache>
            </c:numRef>
          </c:yVal>
          <c:smooth val="0"/>
        </c:ser>
        <c:ser>
          <c:idx val="1"/>
          <c:order val="1"/>
          <c:tx>
            <c:strRef>
              <c:f>Sheet1!$C$1</c:f>
              <c:strCache>
                <c:ptCount val="1"/>
                <c:pt idx="0">
                  <c:v>ANSYS</c:v>
                </c:pt>
              </c:strCache>
            </c:strRef>
          </c:tx>
          <c:marker>
            <c:symbol val="square"/>
            <c:size val="7"/>
          </c:marker>
          <c:xVal>
            <c:numRef>
              <c:f>Sheet1!$A$2:$A$11</c:f>
              <c:numCache>
                <c:formatCode>General</c:formatCode>
                <c:ptCount val="10"/>
                <c:pt idx="0">
                  <c:v>0.2</c:v>
                </c:pt>
                <c:pt idx="1">
                  <c:v>0.4</c:v>
                </c:pt>
                <c:pt idx="2">
                  <c:v>0.6</c:v>
                </c:pt>
                <c:pt idx="3">
                  <c:v>0.8</c:v>
                </c:pt>
                <c:pt idx="4">
                  <c:v>1</c:v>
                </c:pt>
                <c:pt idx="5">
                  <c:v>1.2</c:v>
                </c:pt>
                <c:pt idx="6">
                  <c:v>1.4</c:v>
                </c:pt>
                <c:pt idx="7">
                  <c:v>1.6</c:v>
                </c:pt>
                <c:pt idx="8">
                  <c:v>1.8</c:v>
                </c:pt>
                <c:pt idx="9">
                  <c:v>2</c:v>
                </c:pt>
              </c:numCache>
            </c:numRef>
          </c:xVal>
          <c:yVal>
            <c:numRef>
              <c:f>Sheet1!$C$2:$C$11</c:f>
              <c:numCache>
                <c:formatCode>0.00E+00</c:formatCode>
                <c:ptCount val="10"/>
                <c:pt idx="0">
                  <c:v>2.6399999999999998E-7</c:v>
                </c:pt>
                <c:pt idx="1">
                  <c:v>5.2900000000000004E-7</c:v>
                </c:pt>
                <c:pt idx="2">
                  <c:v>7.9299999999999997E-7</c:v>
                </c:pt>
                <c:pt idx="3">
                  <c:v>1.06E-6</c:v>
                </c:pt>
                <c:pt idx="4">
                  <c:v>1.3200000000000001E-6</c:v>
                </c:pt>
                <c:pt idx="5">
                  <c:v>1.59E-6</c:v>
                </c:pt>
                <c:pt idx="6">
                  <c:v>1.8500000000000001E-6</c:v>
                </c:pt>
                <c:pt idx="7">
                  <c:v>2.12E-6</c:v>
                </c:pt>
                <c:pt idx="8">
                  <c:v>2.3800000000000001E-6</c:v>
                </c:pt>
                <c:pt idx="9">
                  <c:v>2.6400000000000001E-6</c:v>
                </c:pt>
              </c:numCache>
            </c:numRef>
          </c:yVal>
          <c:smooth val="0"/>
        </c:ser>
        <c:dLbls>
          <c:showLegendKey val="0"/>
          <c:showVal val="0"/>
          <c:showCatName val="0"/>
          <c:showSerName val="0"/>
          <c:showPercent val="0"/>
          <c:showBubbleSize val="0"/>
        </c:dLbls>
        <c:axId val="66831872"/>
        <c:axId val="66833792"/>
      </c:scatterChart>
      <c:valAx>
        <c:axId val="66831872"/>
        <c:scaling>
          <c:orientation val="minMax"/>
          <c:max val="2.2000000000000002"/>
        </c:scaling>
        <c:delete val="0"/>
        <c:axPos val="b"/>
        <c:title>
          <c:tx>
            <c:rich>
              <a:bodyPr/>
              <a:lstStyle/>
              <a:p>
                <a:pPr>
                  <a:defRPr/>
                </a:pPr>
                <a:r>
                  <a:rPr lang="en-US"/>
                  <a:t>Pressure</a:t>
                </a:r>
                <a:r>
                  <a:rPr lang="en-US" baseline="0"/>
                  <a:t> (</a:t>
                </a:r>
                <a:r>
                  <a:rPr lang="en-US" sz="1000" b="1" i="0" u="none" strike="noStrike" baseline="0">
                    <a:effectLst/>
                  </a:rPr>
                  <a:t>nN/𝝁m)</a:t>
                </a:r>
                <a:endParaRPr lang="en-US"/>
              </a:p>
            </c:rich>
          </c:tx>
          <c:overlay val="0"/>
        </c:title>
        <c:numFmt formatCode="General" sourceLinked="1"/>
        <c:majorTickMark val="out"/>
        <c:minorTickMark val="none"/>
        <c:tickLblPos val="nextTo"/>
        <c:crossAx val="66833792"/>
        <c:crosses val="autoZero"/>
        <c:crossBetween val="midCat"/>
        <c:majorUnit val="0.2"/>
      </c:valAx>
      <c:valAx>
        <c:axId val="66833792"/>
        <c:scaling>
          <c:orientation val="minMax"/>
        </c:scaling>
        <c:delete val="0"/>
        <c:axPos val="l"/>
        <c:majorGridlines/>
        <c:title>
          <c:tx>
            <c:rich>
              <a:bodyPr rot="-5400000" vert="horz"/>
              <a:lstStyle/>
              <a:p>
                <a:pPr>
                  <a:defRPr/>
                </a:pPr>
                <a:r>
                  <a:rPr lang="en-US" sz="1000" b="1" i="0" u="none" strike="noStrike" baseline="0">
                    <a:effectLst/>
                  </a:rPr>
                  <a:t>Displacement (𝝁m) </a:t>
                </a:r>
                <a:endParaRPr lang="en-US"/>
              </a:p>
            </c:rich>
          </c:tx>
          <c:overlay val="0"/>
        </c:title>
        <c:numFmt formatCode="0.00E+00" sourceLinked="1"/>
        <c:majorTickMark val="out"/>
        <c:minorTickMark val="none"/>
        <c:tickLblPos val="nextTo"/>
        <c:crossAx val="66831872"/>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Neuman</dc:creator>
  <cp:lastModifiedBy>Kira Neuman</cp:lastModifiedBy>
  <cp:revision>51</cp:revision>
  <dcterms:created xsi:type="dcterms:W3CDTF">2015-12-07T03:31:00Z</dcterms:created>
  <dcterms:modified xsi:type="dcterms:W3CDTF">2015-12-09T20:35:00Z</dcterms:modified>
</cp:coreProperties>
</file>