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08" w:rsidRPr="00FD2EDE" w:rsidRDefault="00EC4ADA" w:rsidP="00730124">
      <w:pPr>
        <w:spacing w:line="360" w:lineRule="auto"/>
      </w:pPr>
      <w:r w:rsidRPr="00FD2EDE">
        <w:t xml:space="preserve">Date: </w:t>
      </w:r>
      <w:r w:rsidRPr="00FD2EDE">
        <w:tab/>
      </w:r>
      <w:r w:rsidRPr="00FD2EDE">
        <w:tab/>
        <w:t>October 26</w:t>
      </w:r>
      <w:r w:rsidRPr="00FD2EDE">
        <w:rPr>
          <w:vertAlign w:val="superscript"/>
        </w:rPr>
        <w:t>th</w:t>
      </w:r>
      <w:r w:rsidRPr="00FD2EDE">
        <w:t>, 2015</w:t>
      </w:r>
    </w:p>
    <w:p w:rsidR="00EC4ADA" w:rsidRPr="00FD2EDE" w:rsidRDefault="00EC4ADA" w:rsidP="00730124">
      <w:pPr>
        <w:spacing w:line="360" w:lineRule="auto"/>
      </w:pPr>
      <w:r w:rsidRPr="00FD2EDE">
        <w:t xml:space="preserve">To: </w:t>
      </w:r>
      <w:r w:rsidRPr="00FD2EDE">
        <w:tab/>
      </w:r>
      <w:r w:rsidRPr="00FD2EDE">
        <w:tab/>
        <w:t xml:space="preserve">Sheri </w:t>
      </w:r>
      <w:proofErr w:type="spellStart"/>
      <w:r w:rsidRPr="00FD2EDE">
        <w:t>Imsdalh</w:t>
      </w:r>
      <w:proofErr w:type="spellEnd"/>
      <w:r w:rsidRPr="00FD2EDE">
        <w:t>, Professor</w:t>
      </w:r>
    </w:p>
    <w:p w:rsidR="00EC4ADA" w:rsidRPr="00FD2EDE" w:rsidRDefault="00EC4ADA" w:rsidP="00730124">
      <w:pPr>
        <w:spacing w:line="360" w:lineRule="auto"/>
      </w:pPr>
      <w:r w:rsidRPr="00FD2EDE">
        <w:t xml:space="preserve">From: </w:t>
      </w:r>
      <w:r w:rsidRPr="00FD2EDE">
        <w:tab/>
      </w:r>
      <w:r w:rsidRPr="00FD2EDE">
        <w:tab/>
        <w:t>Kira Neuman, Mechanical Engineering Student</w:t>
      </w:r>
    </w:p>
    <w:p w:rsidR="00EC4ADA" w:rsidRPr="00FD2EDE" w:rsidRDefault="00EC4ADA" w:rsidP="00730124">
      <w:pPr>
        <w:spacing w:line="360" w:lineRule="auto"/>
      </w:pPr>
      <w:r w:rsidRPr="00FD2EDE">
        <w:t xml:space="preserve">Subject: </w:t>
      </w:r>
      <w:r w:rsidRPr="00FD2EDE">
        <w:tab/>
        <w:t>Project 1</w:t>
      </w:r>
    </w:p>
    <w:p w:rsidR="00645E74" w:rsidRDefault="00645E74"/>
    <w:p w:rsidR="00645E74" w:rsidRPr="00FD2EDE" w:rsidRDefault="00645E74">
      <w:pPr>
        <w:rPr>
          <w:b/>
          <w:sz w:val="28"/>
        </w:rPr>
      </w:pPr>
      <w:r w:rsidRPr="00FD2EDE">
        <w:rPr>
          <w:b/>
          <w:sz w:val="28"/>
        </w:rPr>
        <w:t>Abstract</w:t>
      </w:r>
      <w:bookmarkStart w:id="0" w:name="_GoBack"/>
      <w:bookmarkEnd w:id="0"/>
    </w:p>
    <w:p w:rsidR="00565586" w:rsidRPr="00565586" w:rsidRDefault="00565586">
      <w:r>
        <w:t>Two variations of a shelf, one all steel and one with steel and composite, were analyzed using finite element analysis methods including analytical calculations and computer aided modeling with ANSYS. The displacements, reaction forces, and maximum stresses were compared. The shelves performed similarly, though shelf with the composite member experienced lower maxim stress and loess displacement. However, once c</w:t>
      </w:r>
      <w:r w:rsidR="00DB02A6">
        <w:t>o</w:t>
      </w:r>
      <w:r>
        <w:t xml:space="preserve">st is considered, the all steel shelf is </w:t>
      </w:r>
      <w:r w:rsidR="00DB02A6">
        <w:t>still a good choice for most applications.</w:t>
      </w:r>
    </w:p>
    <w:p w:rsidR="00CD02FA" w:rsidRDefault="00CD02FA"/>
    <w:p w:rsidR="00645E74" w:rsidRPr="00FD2EDE" w:rsidRDefault="00645E74">
      <w:pPr>
        <w:rPr>
          <w:b/>
          <w:sz w:val="28"/>
        </w:rPr>
      </w:pPr>
      <w:r w:rsidRPr="00FD2EDE">
        <w:rPr>
          <w:b/>
          <w:sz w:val="28"/>
        </w:rPr>
        <w:t>Intro</w:t>
      </w:r>
      <w:r w:rsidR="00C35216" w:rsidRPr="00FD2EDE">
        <w:rPr>
          <w:b/>
          <w:sz w:val="28"/>
        </w:rPr>
        <w:t>duction</w:t>
      </w:r>
    </w:p>
    <w:p w:rsidR="00CD02FA" w:rsidRDefault="00CD02FA">
      <w:r>
        <w:t xml:space="preserve">In order to calculate the maximum stress and deflection of a steel shelf, the support structure was analyzed using finite element analysis (FEA). The goal was to compare the results from </w:t>
      </w:r>
      <w:r w:rsidR="00F46B79">
        <w:t>analyzing an</w:t>
      </w:r>
      <w:r>
        <w:t xml:space="preserve"> all steel support structure with</w:t>
      </w:r>
      <w:r w:rsidR="00F46B79">
        <w:t xml:space="preserve"> a</w:t>
      </w:r>
      <w:r>
        <w:t xml:space="preserve"> structure </w:t>
      </w:r>
      <w:r w:rsidR="00F46B79">
        <w:t>that</w:t>
      </w:r>
      <w:r w:rsidRPr="00AB0528">
        <w:t xml:space="preserve"> round, composite tube</w:t>
      </w:r>
      <w:r w:rsidR="00F46B79">
        <w:t xml:space="preserve"> as the diagonal member</w:t>
      </w:r>
      <w:r w:rsidRPr="00AB0528">
        <w:t>. The modeling was simplified to two-dimensions</w:t>
      </w:r>
      <w:r w:rsidR="005B0AC7" w:rsidRPr="00AB0528">
        <w:t>, as represented in Figure 1,</w:t>
      </w:r>
      <w:r w:rsidRPr="00AB0528">
        <w:t xml:space="preserve"> since</w:t>
      </w:r>
      <w:r>
        <w:t xml:space="preserve"> the shelf and loading are symmetrical. The analysis was performed analytically, and the results checked using the FEA software ANSYS. </w:t>
      </w:r>
    </w:p>
    <w:p w:rsidR="00A2607A" w:rsidRDefault="00A2607A"/>
    <w:p w:rsidR="00A2607A" w:rsidRDefault="00A2607A"/>
    <w:p w:rsidR="00CD02FA" w:rsidRDefault="00A2607A">
      <w:pPr>
        <w:rPr>
          <w:noProof/>
        </w:rPr>
      </w:pPr>
      <w:r>
        <w:rPr>
          <w:noProof/>
        </w:rPr>
        <w:t xml:space="preserve">          </w:t>
      </w:r>
      <w:r>
        <w:rPr>
          <w:noProof/>
        </w:rPr>
        <w:drawing>
          <wp:inline distT="0" distB="0" distL="0" distR="0" wp14:anchorId="1FDCBAA8" wp14:editId="5A4C2E29">
            <wp:extent cx="2286000" cy="21366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286000" cy="2136618"/>
                    </a:xfrm>
                    <a:prstGeom prst="rect">
                      <a:avLst/>
                    </a:prstGeom>
                  </pic:spPr>
                </pic:pic>
              </a:graphicData>
            </a:graphic>
          </wp:inline>
        </w:drawing>
      </w:r>
      <w:r>
        <w:rPr>
          <w:noProof/>
        </w:rPr>
        <w:t xml:space="preserve">        </w:t>
      </w:r>
      <w:r>
        <w:rPr>
          <w:noProof/>
        </w:rPr>
        <w:drawing>
          <wp:inline distT="0" distB="0" distL="0" distR="0" wp14:anchorId="37294053" wp14:editId="361E1AFE">
            <wp:extent cx="2665735" cy="21336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75205" cy="2141179"/>
                    </a:xfrm>
                    <a:prstGeom prst="rect">
                      <a:avLst/>
                    </a:prstGeom>
                  </pic:spPr>
                </pic:pic>
              </a:graphicData>
            </a:graphic>
          </wp:inline>
        </w:drawing>
      </w:r>
    </w:p>
    <w:p w:rsidR="00A2607A" w:rsidRDefault="00A2607A" w:rsidP="00A2607A">
      <w:pPr>
        <w:jc w:val="center"/>
      </w:pPr>
      <w:r w:rsidRPr="00067BB3">
        <w:rPr>
          <w:b/>
          <w:noProof/>
        </w:rPr>
        <w:t>F</w:t>
      </w:r>
      <w:r w:rsidR="00707300" w:rsidRPr="00067BB3">
        <w:rPr>
          <w:b/>
          <w:noProof/>
        </w:rPr>
        <w:t>igure 1</w:t>
      </w:r>
      <w:r w:rsidR="00707300">
        <w:rPr>
          <w:noProof/>
        </w:rPr>
        <w:t>.</w:t>
      </w:r>
      <w:r>
        <w:rPr>
          <w:noProof/>
        </w:rPr>
        <w:t xml:space="preserve"> Diagram of Shelf in Three-Dimensions and Corresponding Two-Dimension Model</w:t>
      </w:r>
    </w:p>
    <w:p w:rsidR="00A2607A" w:rsidRDefault="00A2607A"/>
    <w:p w:rsidR="00645E74" w:rsidRPr="00FD2EDE" w:rsidRDefault="00C35216">
      <w:pPr>
        <w:rPr>
          <w:b/>
          <w:sz w:val="28"/>
        </w:rPr>
      </w:pPr>
      <w:r w:rsidRPr="00FD2EDE">
        <w:rPr>
          <w:b/>
          <w:sz w:val="28"/>
        </w:rPr>
        <w:t>Methodology</w:t>
      </w:r>
    </w:p>
    <w:p w:rsidR="00797030" w:rsidRPr="00AB0528" w:rsidRDefault="00797030">
      <w:r>
        <w:t xml:space="preserve">In order to model the shelf as a truss structure, any twisting of the elements and rotation about the nodes was neglected. It was assumed that nodes 1 and 2 were pin supports and therefore unable to move in either x-direction or y-direction; this would represents the locations where the shelf would be bolted to a wall. </w:t>
      </w:r>
      <w:r w:rsidRPr="00AB0528">
        <w:t xml:space="preserve">Additionally, the 1200 </w:t>
      </w:r>
      <w:proofErr w:type="spellStart"/>
      <w:r w:rsidRPr="00AB0528">
        <w:t>lbf</w:t>
      </w:r>
      <w:proofErr w:type="spellEnd"/>
      <w:r w:rsidRPr="00AB0528">
        <w:t xml:space="preserve"> load in the middle of the shelf was treated as 300lbf applied to each of the shelf platform’s corners due to symmetry. </w:t>
      </w:r>
      <w:r w:rsidR="00F908FA" w:rsidRPr="00AB0528">
        <w:t xml:space="preserve"> The material properties for steel and composite are given in Table 1.</w:t>
      </w:r>
    </w:p>
    <w:p w:rsidR="00797030" w:rsidRPr="00AB0528" w:rsidRDefault="00797030"/>
    <w:p w:rsidR="008811BB" w:rsidRDefault="00707300" w:rsidP="008811BB">
      <w:pPr>
        <w:jc w:val="center"/>
      </w:pPr>
      <w:proofErr w:type="gramStart"/>
      <w:r w:rsidRPr="00AB0528">
        <w:rPr>
          <w:b/>
        </w:rPr>
        <w:lastRenderedPageBreak/>
        <w:t>Table 1</w:t>
      </w:r>
      <w:r w:rsidRPr="00AB0528">
        <w:t>.</w:t>
      </w:r>
      <w:proofErr w:type="gramEnd"/>
      <w:r w:rsidR="008811BB" w:rsidRPr="00AB0528">
        <w:t xml:space="preserve"> Material Properties</w:t>
      </w:r>
    </w:p>
    <w:tbl>
      <w:tblPr>
        <w:tblStyle w:val="TableGrid"/>
        <w:tblpPr w:leftFromText="180" w:rightFromText="180" w:vertAnchor="text" w:horzAnchor="margin" w:tblpXSpec="center" w:tblpY="69"/>
        <w:tblW w:w="0" w:type="auto"/>
        <w:tblLook w:val="04A0" w:firstRow="1" w:lastRow="0" w:firstColumn="1" w:lastColumn="0" w:noHBand="0" w:noVBand="1"/>
      </w:tblPr>
      <w:tblGrid>
        <w:gridCol w:w="2363"/>
        <w:gridCol w:w="1149"/>
        <w:gridCol w:w="1169"/>
        <w:gridCol w:w="1377"/>
      </w:tblGrid>
      <w:tr w:rsidR="00704E48" w:rsidTr="00704E48">
        <w:tc>
          <w:tcPr>
            <w:tcW w:w="3512" w:type="dxa"/>
            <w:gridSpan w:val="2"/>
          </w:tcPr>
          <w:p w:rsidR="00704E48" w:rsidRDefault="00704E48" w:rsidP="00704E48">
            <w:pPr>
              <w:jc w:val="center"/>
            </w:pPr>
          </w:p>
        </w:tc>
        <w:tc>
          <w:tcPr>
            <w:tcW w:w="1169" w:type="dxa"/>
          </w:tcPr>
          <w:p w:rsidR="00704E48" w:rsidRDefault="00704E48" w:rsidP="00704E48">
            <w:pPr>
              <w:jc w:val="center"/>
            </w:pPr>
            <w:r>
              <w:t>Steel</w:t>
            </w:r>
          </w:p>
        </w:tc>
        <w:tc>
          <w:tcPr>
            <w:tcW w:w="1377" w:type="dxa"/>
          </w:tcPr>
          <w:p w:rsidR="00704E48" w:rsidRDefault="00704E48" w:rsidP="00704E48">
            <w:pPr>
              <w:jc w:val="center"/>
            </w:pPr>
            <w:r>
              <w:t>Composite</w:t>
            </w:r>
          </w:p>
        </w:tc>
      </w:tr>
      <w:tr w:rsidR="002F256F" w:rsidTr="00704E48">
        <w:tc>
          <w:tcPr>
            <w:tcW w:w="2363" w:type="dxa"/>
          </w:tcPr>
          <w:p w:rsidR="002F256F" w:rsidRPr="00704E48" w:rsidRDefault="002F256F" w:rsidP="00704E48">
            <w:pPr>
              <w:jc w:val="center"/>
            </w:pPr>
            <w:r w:rsidRPr="00704E48">
              <w:t>Cross Sectional Area</w:t>
            </w:r>
          </w:p>
        </w:tc>
        <w:tc>
          <w:tcPr>
            <w:tcW w:w="1149" w:type="dxa"/>
          </w:tcPr>
          <w:p w:rsidR="002F256F" w:rsidRDefault="002F256F" w:rsidP="00704E48">
            <w:pPr>
              <w:jc w:val="center"/>
            </w:pPr>
            <w:r>
              <w:t>A (in^2)</w:t>
            </w:r>
          </w:p>
        </w:tc>
        <w:tc>
          <w:tcPr>
            <w:tcW w:w="1169" w:type="dxa"/>
          </w:tcPr>
          <w:p w:rsidR="002F256F" w:rsidRDefault="002F256F" w:rsidP="00704E48">
            <w:pPr>
              <w:jc w:val="center"/>
            </w:pPr>
            <w:r>
              <w:t>0.125</w:t>
            </w:r>
          </w:p>
        </w:tc>
        <w:tc>
          <w:tcPr>
            <w:tcW w:w="1377" w:type="dxa"/>
          </w:tcPr>
          <w:p w:rsidR="002F256F" w:rsidRDefault="002F256F" w:rsidP="00704E48">
            <w:pPr>
              <w:jc w:val="center"/>
            </w:pPr>
            <w:r>
              <w:t>0.3</w:t>
            </w:r>
          </w:p>
        </w:tc>
      </w:tr>
      <w:tr w:rsidR="002F256F" w:rsidTr="00704E48">
        <w:tc>
          <w:tcPr>
            <w:tcW w:w="2363" w:type="dxa"/>
          </w:tcPr>
          <w:p w:rsidR="002F256F" w:rsidRPr="00704E48" w:rsidRDefault="002F256F" w:rsidP="00704E48">
            <w:pPr>
              <w:jc w:val="center"/>
            </w:pPr>
            <w:r w:rsidRPr="00704E48">
              <w:t>Elastic Modulus</w:t>
            </w:r>
          </w:p>
        </w:tc>
        <w:tc>
          <w:tcPr>
            <w:tcW w:w="1149" w:type="dxa"/>
          </w:tcPr>
          <w:p w:rsidR="002F256F" w:rsidRDefault="002F256F" w:rsidP="00704E48">
            <w:pPr>
              <w:jc w:val="center"/>
            </w:pPr>
            <w:r>
              <w:t>E (psi)</w:t>
            </w:r>
          </w:p>
        </w:tc>
        <w:tc>
          <w:tcPr>
            <w:tcW w:w="1169" w:type="dxa"/>
          </w:tcPr>
          <w:p w:rsidR="002F256F" w:rsidRDefault="002F256F" w:rsidP="00704E48">
            <w:pPr>
              <w:jc w:val="center"/>
            </w:pPr>
            <w:r>
              <w:t>30x10^6</w:t>
            </w:r>
          </w:p>
        </w:tc>
        <w:tc>
          <w:tcPr>
            <w:tcW w:w="1377" w:type="dxa"/>
          </w:tcPr>
          <w:p w:rsidR="002F256F" w:rsidRDefault="002F256F" w:rsidP="00704E48">
            <w:pPr>
              <w:jc w:val="center"/>
            </w:pPr>
            <w:r>
              <w:t>2x10^7</w:t>
            </w:r>
          </w:p>
        </w:tc>
      </w:tr>
      <w:tr w:rsidR="002F256F" w:rsidTr="00704E48">
        <w:tc>
          <w:tcPr>
            <w:tcW w:w="2363" w:type="dxa"/>
          </w:tcPr>
          <w:p w:rsidR="002F256F" w:rsidRPr="00704E48" w:rsidRDefault="002F256F" w:rsidP="00704E48">
            <w:pPr>
              <w:jc w:val="center"/>
            </w:pPr>
            <w:r w:rsidRPr="00704E48">
              <w:t>Poisson’s Ratio</w:t>
            </w:r>
          </w:p>
        </w:tc>
        <w:tc>
          <w:tcPr>
            <w:tcW w:w="1149" w:type="dxa"/>
          </w:tcPr>
          <w:p w:rsidR="002F256F" w:rsidRDefault="002F256F" w:rsidP="00704E48">
            <w:pPr>
              <w:jc w:val="center"/>
            </w:pPr>
            <w:r>
              <w:rPr>
                <w:rFonts w:ascii="Sylfaen" w:hAnsi="Sylfaen"/>
              </w:rPr>
              <w:t>ν</w:t>
            </w:r>
          </w:p>
        </w:tc>
        <w:tc>
          <w:tcPr>
            <w:tcW w:w="1169" w:type="dxa"/>
          </w:tcPr>
          <w:p w:rsidR="002F256F" w:rsidRDefault="002F256F" w:rsidP="00704E48">
            <w:pPr>
              <w:jc w:val="center"/>
            </w:pPr>
            <w:r>
              <w:t>0.27</w:t>
            </w:r>
          </w:p>
        </w:tc>
        <w:tc>
          <w:tcPr>
            <w:tcW w:w="1377" w:type="dxa"/>
          </w:tcPr>
          <w:p w:rsidR="002F256F" w:rsidRDefault="002F256F" w:rsidP="00704E48">
            <w:pPr>
              <w:jc w:val="center"/>
            </w:pPr>
            <w:r>
              <w:t>0.4</w:t>
            </w:r>
          </w:p>
        </w:tc>
      </w:tr>
    </w:tbl>
    <w:p w:rsidR="002F256F" w:rsidRDefault="002F256F"/>
    <w:p w:rsidR="00704E48" w:rsidRDefault="00704E48"/>
    <w:p w:rsidR="00704E48" w:rsidRDefault="00704E48"/>
    <w:p w:rsidR="00704E48" w:rsidRDefault="00704E48"/>
    <w:p w:rsidR="00704E48" w:rsidRDefault="00704E48"/>
    <w:p w:rsidR="00FD2EDE" w:rsidRDefault="00FD2EDE"/>
    <w:p w:rsidR="00F1030D" w:rsidRPr="00AB0528" w:rsidRDefault="00F1030D">
      <w:r>
        <w:t>T</w:t>
      </w:r>
      <w:r w:rsidR="00514F05">
        <w:t>o</w:t>
      </w:r>
      <w:r>
        <w:t xml:space="preserve"> calculate the nodal displacement and forces, the equation </w:t>
      </w:r>
      <w:r w:rsidRPr="00F1030D">
        <w:rPr>
          <w:u w:val="single"/>
        </w:rPr>
        <w:t>F</w:t>
      </w:r>
      <w:r>
        <w:t>=</w:t>
      </w:r>
      <w:r w:rsidRPr="00F1030D">
        <w:rPr>
          <w:u w:val="single"/>
        </w:rPr>
        <w:t>K</w:t>
      </w:r>
      <w:r>
        <w:t>*</w:t>
      </w:r>
      <w:r w:rsidRPr="00F1030D">
        <w:rPr>
          <w:u w:val="single"/>
        </w:rPr>
        <w:t>d</w:t>
      </w:r>
      <w:r>
        <w:t xml:space="preserve"> was used</w:t>
      </w:r>
      <w:r w:rsidR="00514F05">
        <w:t xml:space="preserve">, where </w:t>
      </w:r>
      <w:r w:rsidR="00514F05" w:rsidRPr="00514F05">
        <w:rPr>
          <w:u w:val="single"/>
        </w:rPr>
        <w:t>F</w:t>
      </w:r>
      <w:r w:rsidR="00514F05">
        <w:t xml:space="preserve"> is the global nodal force vector, </w:t>
      </w:r>
      <w:r w:rsidR="00514F05" w:rsidRPr="00514F05">
        <w:rPr>
          <w:u w:val="single"/>
        </w:rPr>
        <w:t>K</w:t>
      </w:r>
      <w:r w:rsidR="00514F05">
        <w:t xml:space="preserve"> is the global stiffness matrix, and </w:t>
      </w:r>
      <w:r w:rsidR="00514F05" w:rsidRPr="00514F05">
        <w:rPr>
          <w:u w:val="single"/>
        </w:rPr>
        <w:t>d</w:t>
      </w:r>
      <w:r w:rsidR="00514F05">
        <w:t xml:space="preserve"> is the nodal displacement vector</w:t>
      </w:r>
      <w:r>
        <w:t>.</w:t>
      </w:r>
      <w:r w:rsidR="00F908FA">
        <w:t xml:space="preserve"> The boundaries conditions applied were u1=v1=u2=v2=0 and a force of 300 </w:t>
      </w:r>
      <w:proofErr w:type="spellStart"/>
      <w:r w:rsidR="00F908FA">
        <w:t>lbf</w:t>
      </w:r>
      <w:proofErr w:type="spellEnd"/>
      <w:r w:rsidR="00F908FA">
        <w:t xml:space="preserve"> was applied to nodes 1 and 3. First, the stiffness matrix was assembled and partitioned, which allowed the unknown displacements, u3 and v3, to be determined. Then the global stiffness matrix was used to find </w:t>
      </w:r>
      <w:r w:rsidR="00F908FA" w:rsidRPr="00AB0528">
        <w:t>the total forces. Finally, the applied forces were subtracted from the total forces in order to see the reaction forces. The complete calculations for both the steel and composite members can be found in Appendix A.</w:t>
      </w:r>
    </w:p>
    <w:p w:rsidR="00F1030D" w:rsidRPr="00AB0528" w:rsidRDefault="00F1030D"/>
    <w:p w:rsidR="00797030" w:rsidRPr="00AB0528" w:rsidRDefault="00797030">
      <w:r w:rsidRPr="00AB0528">
        <w:t>Computing this analysis using ANSYS, Link 180 was selected as the element type since it is a truss. Two sets of Real Properties and M</w:t>
      </w:r>
      <w:r w:rsidR="00E83797" w:rsidRPr="00AB0528">
        <w:t>aterial Properties were defined. Set 1 represented steel and Set 2 represented composite. Nodes were created by coordinates as follows: Node 1 (0</w:t>
      </w:r>
      <w:proofErr w:type="gramStart"/>
      <w:r w:rsidR="00E83797" w:rsidRPr="00AB0528">
        <w:t>,0</w:t>
      </w:r>
      <w:proofErr w:type="gramEnd"/>
      <w:r w:rsidR="00E83797" w:rsidRPr="00AB0528">
        <w:t>), Node 2 (0,15) and Node 3 (20,0).</w:t>
      </w:r>
      <w:r w:rsidR="00562D8F" w:rsidRPr="00AB0528">
        <w:t xml:space="preserve"> Element 1 and Element 3 were both created using the properties of Set 1. Element 2 was defined by Set 1 for the all-steel shelf and Set 2 for the composite-steel shelf. </w:t>
      </w:r>
      <w:r w:rsidR="003E7141" w:rsidRPr="00AB0528">
        <w:t>ANSYS then computed a solution, plotted the deformed structure, and listed displacements and force for each node, and</w:t>
      </w:r>
      <w:r w:rsidR="005422DC" w:rsidRPr="00AB0528">
        <w:t xml:space="preserve"> listed</w:t>
      </w:r>
      <w:r w:rsidR="003E7141" w:rsidRPr="00AB0528">
        <w:t xml:space="preserve"> axial force and stress for each element.</w:t>
      </w:r>
    </w:p>
    <w:p w:rsidR="00797030" w:rsidRPr="00AB0528" w:rsidRDefault="00797030"/>
    <w:p w:rsidR="00645E74" w:rsidRPr="00FD2EDE" w:rsidRDefault="00645E74">
      <w:pPr>
        <w:rPr>
          <w:b/>
          <w:sz w:val="28"/>
        </w:rPr>
      </w:pPr>
      <w:r w:rsidRPr="00FD2EDE">
        <w:rPr>
          <w:b/>
          <w:sz w:val="28"/>
        </w:rPr>
        <w:t>Results</w:t>
      </w:r>
    </w:p>
    <w:p w:rsidR="00370BDD" w:rsidRDefault="00AB0528">
      <w:r w:rsidRPr="00AB0528">
        <w:t xml:space="preserve">The calculations show that both shelves have the same reaction forces, but the composite shelf has a slightly decreased y-displacement at node 3. </w:t>
      </w:r>
      <w:r w:rsidR="00730124" w:rsidRPr="00AB0528">
        <w:t>T</w:t>
      </w:r>
      <w:r w:rsidR="00370BDD" w:rsidRPr="00AB0528">
        <w:t>he results</w:t>
      </w:r>
      <w:r w:rsidR="00370BDD">
        <w:t xml:space="preserve"> from the two methods, analytical and </w:t>
      </w:r>
      <w:proofErr w:type="gramStart"/>
      <w:r w:rsidR="00370BDD">
        <w:t>ANSYS,</w:t>
      </w:r>
      <w:proofErr w:type="gramEnd"/>
      <w:r w:rsidR="00370BDD">
        <w:t xml:space="preserve"> were very similar. The small discrepancies were likely due to rounding since the computer is capable of carrying more digits following the decimal. </w:t>
      </w:r>
      <w:r w:rsidR="00730124">
        <w:t xml:space="preserve">The displacement and reaction forces are listed in Table 2. </w:t>
      </w:r>
      <w:r w:rsidR="00B54933">
        <w:t xml:space="preserve">The deformed structure for all-steel and composite can be seen in Figure 2 and Figure 3 respectively. </w:t>
      </w:r>
      <w:r w:rsidR="00BB5493">
        <w:t>ANSYS also determined that for the all steel shelf, the maximum stress in 4000 psi and is located in element 2.</w:t>
      </w:r>
      <w:r>
        <w:t xml:space="preserve"> </w:t>
      </w:r>
      <w:r w:rsidR="00BB5493">
        <w:t xml:space="preserve">However, when that bar was replaced with the composite, the maximum stress was 3200 psi and was located in element 3. </w:t>
      </w:r>
      <w:r>
        <w:t xml:space="preserve">This makes sense because the composite material has a larger cross sectional area, both shelves have the same nodal forces and stress is defined as force per area. </w:t>
      </w:r>
      <w:r w:rsidR="00BB5493">
        <w:t xml:space="preserve">Since the yield stress of steel ranges from about 40,000 psi to 232,000 psi, </w:t>
      </w:r>
      <w:r>
        <w:t>neither shelf will fail due to stress.</w:t>
      </w:r>
    </w:p>
    <w:p w:rsidR="00707300" w:rsidRDefault="00707300"/>
    <w:p w:rsidR="00FD2EDE" w:rsidRDefault="00FD2EDE"/>
    <w:p w:rsidR="00FD2EDE" w:rsidRDefault="00FD2EDE"/>
    <w:p w:rsidR="00FD2EDE" w:rsidRDefault="00FD2EDE"/>
    <w:p w:rsidR="00FD2EDE" w:rsidRDefault="00FD2EDE"/>
    <w:p w:rsidR="00FD2EDE" w:rsidRDefault="00FD2EDE"/>
    <w:p w:rsidR="00FD2EDE" w:rsidRDefault="00FD2EDE"/>
    <w:p w:rsidR="00FD2EDE" w:rsidRDefault="00FD2EDE"/>
    <w:p w:rsidR="00FD2EDE" w:rsidRDefault="00FD2EDE"/>
    <w:p w:rsidR="00FD2EDE" w:rsidRDefault="00FD2EDE"/>
    <w:p w:rsidR="00707300" w:rsidRPr="0098021B" w:rsidRDefault="00707300" w:rsidP="00707300">
      <w:pPr>
        <w:jc w:val="center"/>
      </w:pPr>
      <w:proofErr w:type="gramStart"/>
      <w:r w:rsidRPr="00067BB3">
        <w:rPr>
          <w:b/>
        </w:rPr>
        <w:lastRenderedPageBreak/>
        <w:t>Table 2</w:t>
      </w:r>
      <w:r>
        <w:t>.</w:t>
      </w:r>
      <w:proofErr w:type="gramEnd"/>
      <w:r>
        <w:t xml:space="preserve"> Comparison of Displacement at Node 3 and Reaction Forces at Nodes 1, 2, &amp; 3</w:t>
      </w:r>
    </w:p>
    <w:tbl>
      <w:tblPr>
        <w:tblStyle w:val="TableGrid"/>
        <w:tblW w:w="0" w:type="auto"/>
        <w:tblLook w:val="04A0" w:firstRow="1" w:lastRow="0" w:firstColumn="1" w:lastColumn="0" w:noHBand="0" w:noVBand="1"/>
      </w:tblPr>
      <w:tblGrid>
        <w:gridCol w:w="1915"/>
        <w:gridCol w:w="1915"/>
        <w:gridCol w:w="1915"/>
        <w:gridCol w:w="1915"/>
        <w:gridCol w:w="1916"/>
      </w:tblGrid>
      <w:tr w:rsidR="00707300" w:rsidTr="00757533">
        <w:tc>
          <w:tcPr>
            <w:tcW w:w="1915" w:type="dxa"/>
            <w:vMerge w:val="restart"/>
          </w:tcPr>
          <w:p w:rsidR="00707300" w:rsidRDefault="00707300" w:rsidP="00370BDD">
            <w:pPr>
              <w:jc w:val="center"/>
            </w:pPr>
          </w:p>
        </w:tc>
        <w:tc>
          <w:tcPr>
            <w:tcW w:w="3830" w:type="dxa"/>
            <w:gridSpan w:val="2"/>
          </w:tcPr>
          <w:p w:rsidR="00707300" w:rsidRDefault="00707300" w:rsidP="00370BDD">
            <w:pPr>
              <w:jc w:val="center"/>
            </w:pPr>
            <w:r>
              <w:t>Analytical</w:t>
            </w:r>
          </w:p>
        </w:tc>
        <w:tc>
          <w:tcPr>
            <w:tcW w:w="3831" w:type="dxa"/>
            <w:gridSpan w:val="2"/>
          </w:tcPr>
          <w:p w:rsidR="00707300" w:rsidRDefault="00707300" w:rsidP="00370BDD">
            <w:pPr>
              <w:jc w:val="center"/>
            </w:pPr>
            <w:r>
              <w:t>ANSYS</w:t>
            </w:r>
          </w:p>
        </w:tc>
      </w:tr>
      <w:tr w:rsidR="00707300" w:rsidTr="00370BDD">
        <w:tc>
          <w:tcPr>
            <w:tcW w:w="1915" w:type="dxa"/>
            <w:vMerge/>
          </w:tcPr>
          <w:p w:rsidR="00707300" w:rsidRDefault="00707300" w:rsidP="00370BDD">
            <w:pPr>
              <w:jc w:val="center"/>
            </w:pPr>
          </w:p>
        </w:tc>
        <w:tc>
          <w:tcPr>
            <w:tcW w:w="1915" w:type="dxa"/>
          </w:tcPr>
          <w:p w:rsidR="00707300" w:rsidRDefault="00707300" w:rsidP="00370BDD">
            <w:pPr>
              <w:jc w:val="center"/>
            </w:pPr>
            <w:r>
              <w:t>Steel</w:t>
            </w:r>
          </w:p>
        </w:tc>
        <w:tc>
          <w:tcPr>
            <w:tcW w:w="1915" w:type="dxa"/>
          </w:tcPr>
          <w:p w:rsidR="00707300" w:rsidRDefault="00707300" w:rsidP="00370BDD">
            <w:pPr>
              <w:jc w:val="center"/>
            </w:pPr>
            <w:r>
              <w:t>Composite</w:t>
            </w:r>
          </w:p>
        </w:tc>
        <w:tc>
          <w:tcPr>
            <w:tcW w:w="1915" w:type="dxa"/>
          </w:tcPr>
          <w:p w:rsidR="00707300" w:rsidRDefault="00707300" w:rsidP="00370BDD">
            <w:pPr>
              <w:jc w:val="center"/>
            </w:pPr>
            <w:r>
              <w:t>Steel</w:t>
            </w:r>
          </w:p>
        </w:tc>
        <w:tc>
          <w:tcPr>
            <w:tcW w:w="1916" w:type="dxa"/>
          </w:tcPr>
          <w:p w:rsidR="00707300" w:rsidRDefault="00707300" w:rsidP="00370BDD">
            <w:pPr>
              <w:jc w:val="center"/>
            </w:pPr>
            <w:r>
              <w:t>Composite</w:t>
            </w:r>
          </w:p>
        </w:tc>
      </w:tr>
      <w:tr w:rsidR="00370BDD" w:rsidTr="00370BDD">
        <w:tc>
          <w:tcPr>
            <w:tcW w:w="1915" w:type="dxa"/>
          </w:tcPr>
          <w:p w:rsidR="00370BDD" w:rsidRDefault="00370BDD" w:rsidP="00370BDD">
            <w:pPr>
              <w:jc w:val="center"/>
            </w:pPr>
            <w:r>
              <w:t>U3 (in.)</w:t>
            </w:r>
          </w:p>
        </w:tc>
        <w:tc>
          <w:tcPr>
            <w:tcW w:w="1915" w:type="dxa"/>
          </w:tcPr>
          <w:p w:rsidR="00370BDD" w:rsidRDefault="00370BDD" w:rsidP="00370BDD">
            <w:pPr>
              <w:jc w:val="center"/>
            </w:pPr>
            <w:r>
              <w:t>-0.00213</w:t>
            </w:r>
          </w:p>
        </w:tc>
        <w:tc>
          <w:tcPr>
            <w:tcW w:w="1915" w:type="dxa"/>
          </w:tcPr>
          <w:p w:rsidR="00370BDD" w:rsidRDefault="00707300" w:rsidP="00370BDD">
            <w:pPr>
              <w:jc w:val="center"/>
            </w:pPr>
            <w:r>
              <w:t>-0.00213</w:t>
            </w:r>
          </w:p>
        </w:tc>
        <w:tc>
          <w:tcPr>
            <w:tcW w:w="1915" w:type="dxa"/>
          </w:tcPr>
          <w:p w:rsidR="00370BDD" w:rsidRDefault="00E314D2" w:rsidP="00370BDD">
            <w:pPr>
              <w:jc w:val="center"/>
            </w:pPr>
            <w:r>
              <w:t>-0.0021333</w:t>
            </w:r>
          </w:p>
        </w:tc>
        <w:tc>
          <w:tcPr>
            <w:tcW w:w="1916" w:type="dxa"/>
          </w:tcPr>
          <w:p w:rsidR="00370BDD" w:rsidRDefault="00E314D2" w:rsidP="00370BDD">
            <w:pPr>
              <w:jc w:val="center"/>
            </w:pPr>
            <w:r>
              <w:t>-0.0021333</w:t>
            </w:r>
          </w:p>
        </w:tc>
      </w:tr>
      <w:tr w:rsidR="00370BDD" w:rsidTr="00370BDD">
        <w:tc>
          <w:tcPr>
            <w:tcW w:w="1915" w:type="dxa"/>
          </w:tcPr>
          <w:p w:rsidR="00370BDD" w:rsidRDefault="00370BDD" w:rsidP="00370BDD">
            <w:pPr>
              <w:jc w:val="center"/>
            </w:pPr>
            <w:r>
              <w:t>V3 (in.)</w:t>
            </w:r>
          </w:p>
        </w:tc>
        <w:tc>
          <w:tcPr>
            <w:tcW w:w="1915" w:type="dxa"/>
          </w:tcPr>
          <w:p w:rsidR="00370BDD" w:rsidRDefault="00370BDD" w:rsidP="00370BDD">
            <w:pPr>
              <w:jc w:val="center"/>
            </w:pPr>
            <w:r>
              <w:t>-0.0084</w:t>
            </w:r>
          </w:p>
        </w:tc>
        <w:tc>
          <w:tcPr>
            <w:tcW w:w="1915" w:type="dxa"/>
          </w:tcPr>
          <w:p w:rsidR="00370BDD" w:rsidRDefault="00707300" w:rsidP="00370BDD">
            <w:pPr>
              <w:jc w:val="center"/>
            </w:pPr>
            <w:r>
              <w:t>-0.00632</w:t>
            </w:r>
          </w:p>
        </w:tc>
        <w:tc>
          <w:tcPr>
            <w:tcW w:w="1915" w:type="dxa"/>
          </w:tcPr>
          <w:p w:rsidR="00370BDD" w:rsidRDefault="00E314D2" w:rsidP="00370BDD">
            <w:pPr>
              <w:jc w:val="center"/>
            </w:pPr>
            <w:r>
              <w:t>-0.0084</w:t>
            </w:r>
          </w:p>
        </w:tc>
        <w:tc>
          <w:tcPr>
            <w:tcW w:w="1916" w:type="dxa"/>
          </w:tcPr>
          <w:p w:rsidR="00370BDD" w:rsidRDefault="00E314D2" w:rsidP="00370BDD">
            <w:pPr>
              <w:jc w:val="center"/>
            </w:pPr>
            <w:r>
              <w:t>-0.0063167</w:t>
            </w:r>
          </w:p>
        </w:tc>
      </w:tr>
      <w:tr w:rsidR="00370BDD" w:rsidTr="00370BDD">
        <w:tc>
          <w:tcPr>
            <w:tcW w:w="1915" w:type="dxa"/>
          </w:tcPr>
          <w:p w:rsidR="00370BDD" w:rsidRDefault="00370BDD" w:rsidP="00370BDD">
            <w:pPr>
              <w:jc w:val="center"/>
            </w:pPr>
            <w:r>
              <w:t>F1x (</w:t>
            </w:r>
            <w:proofErr w:type="spellStart"/>
            <w:r>
              <w:t>lbf</w:t>
            </w:r>
            <w:proofErr w:type="spellEnd"/>
            <w:r>
              <w:t>)</w:t>
            </w:r>
          </w:p>
        </w:tc>
        <w:tc>
          <w:tcPr>
            <w:tcW w:w="1915" w:type="dxa"/>
          </w:tcPr>
          <w:p w:rsidR="00370BDD" w:rsidRDefault="00370BDD" w:rsidP="00370BDD">
            <w:pPr>
              <w:jc w:val="center"/>
            </w:pPr>
            <w:r>
              <w:t>399.3</w:t>
            </w:r>
            <w:r w:rsidR="00707300">
              <w:t>75</w:t>
            </w:r>
          </w:p>
        </w:tc>
        <w:tc>
          <w:tcPr>
            <w:tcW w:w="1915" w:type="dxa"/>
          </w:tcPr>
          <w:p w:rsidR="00370BDD" w:rsidRDefault="00707300" w:rsidP="00370BDD">
            <w:pPr>
              <w:jc w:val="center"/>
            </w:pPr>
            <w:r>
              <w:t>399.375</w:t>
            </w:r>
          </w:p>
        </w:tc>
        <w:tc>
          <w:tcPr>
            <w:tcW w:w="1915" w:type="dxa"/>
          </w:tcPr>
          <w:p w:rsidR="00370BDD" w:rsidRDefault="00E314D2" w:rsidP="00370BDD">
            <w:pPr>
              <w:jc w:val="center"/>
            </w:pPr>
            <w:r>
              <w:t>400</w:t>
            </w:r>
          </w:p>
        </w:tc>
        <w:tc>
          <w:tcPr>
            <w:tcW w:w="1916" w:type="dxa"/>
          </w:tcPr>
          <w:p w:rsidR="00370BDD" w:rsidRDefault="00E314D2" w:rsidP="00370BDD">
            <w:pPr>
              <w:jc w:val="center"/>
            </w:pPr>
            <w:r>
              <w:t>400</w:t>
            </w:r>
          </w:p>
        </w:tc>
      </w:tr>
      <w:tr w:rsidR="00370BDD" w:rsidTr="00370BDD">
        <w:tc>
          <w:tcPr>
            <w:tcW w:w="1915" w:type="dxa"/>
          </w:tcPr>
          <w:p w:rsidR="00370BDD" w:rsidRDefault="00370BDD" w:rsidP="00370BDD">
            <w:pPr>
              <w:jc w:val="center"/>
            </w:pPr>
            <w:r>
              <w:t>F1y (</w:t>
            </w:r>
            <w:proofErr w:type="spellStart"/>
            <w:r>
              <w:t>lbf</w:t>
            </w:r>
            <w:proofErr w:type="spellEnd"/>
            <w:r>
              <w:t>)</w:t>
            </w:r>
          </w:p>
        </w:tc>
        <w:tc>
          <w:tcPr>
            <w:tcW w:w="1915" w:type="dxa"/>
          </w:tcPr>
          <w:p w:rsidR="00370BDD" w:rsidRDefault="00E314D2" w:rsidP="00370BDD">
            <w:pPr>
              <w:jc w:val="center"/>
            </w:pPr>
            <w:r>
              <w:t>300</w:t>
            </w:r>
          </w:p>
        </w:tc>
        <w:tc>
          <w:tcPr>
            <w:tcW w:w="1915" w:type="dxa"/>
          </w:tcPr>
          <w:p w:rsidR="00370BDD" w:rsidRDefault="00E314D2" w:rsidP="00370BDD">
            <w:pPr>
              <w:jc w:val="center"/>
            </w:pPr>
            <w:r>
              <w:t>300</w:t>
            </w:r>
          </w:p>
        </w:tc>
        <w:tc>
          <w:tcPr>
            <w:tcW w:w="1915" w:type="dxa"/>
          </w:tcPr>
          <w:p w:rsidR="00370BDD" w:rsidRDefault="00E314D2" w:rsidP="00370BDD">
            <w:pPr>
              <w:jc w:val="center"/>
            </w:pPr>
            <w:r>
              <w:t>300</w:t>
            </w:r>
          </w:p>
        </w:tc>
        <w:tc>
          <w:tcPr>
            <w:tcW w:w="1916" w:type="dxa"/>
          </w:tcPr>
          <w:p w:rsidR="00370BDD" w:rsidRDefault="00E314D2" w:rsidP="00370BDD">
            <w:pPr>
              <w:jc w:val="center"/>
            </w:pPr>
            <w:r>
              <w:t>300</w:t>
            </w:r>
          </w:p>
        </w:tc>
      </w:tr>
      <w:tr w:rsidR="00370BDD" w:rsidTr="00370BDD">
        <w:tc>
          <w:tcPr>
            <w:tcW w:w="1915" w:type="dxa"/>
          </w:tcPr>
          <w:p w:rsidR="00370BDD" w:rsidRDefault="00370BDD" w:rsidP="00370BDD">
            <w:pPr>
              <w:jc w:val="center"/>
            </w:pPr>
            <w:r>
              <w:t>F2x (</w:t>
            </w:r>
            <w:proofErr w:type="spellStart"/>
            <w:r>
              <w:t>lbf</w:t>
            </w:r>
            <w:proofErr w:type="spellEnd"/>
            <w:r>
              <w:t>)</w:t>
            </w:r>
          </w:p>
        </w:tc>
        <w:tc>
          <w:tcPr>
            <w:tcW w:w="1915" w:type="dxa"/>
          </w:tcPr>
          <w:p w:rsidR="00370BDD" w:rsidRDefault="00707300" w:rsidP="00370BDD">
            <w:pPr>
              <w:jc w:val="center"/>
            </w:pPr>
            <w:r>
              <w:t>-400.32</w:t>
            </w:r>
          </w:p>
        </w:tc>
        <w:tc>
          <w:tcPr>
            <w:tcW w:w="1915" w:type="dxa"/>
          </w:tcPr>
          <w:p w:rsidR="00370BDD" w:rsidRDefault="00707300" w:rsidP="00370BDD">
            <w:pPr>
              <w:jc w:val="center"/>
            </w:pPr>
            <w:r>
              <w:t>-400.896</w:t>
            </w:r>
          </w:p>
        </w:tc>
        <w:tc>
          <w:tcPr>
            <w:tcW w:w="1915" w:type="dxa"/>
          </w:tcPr>
          <w:p w:rsidR="00370BDD" w:rsidRDefault="00E314D2" w:rsidP="00370BDD">
            <w:pPr>
              <w:jc w:val="center"/>
            </w:pPr>
            <w:r>
              <w:t>-400</w:t>
            </w:r>
          </w:p>
        </w:tc>
        <w:tc>
          <w:tcPr>
            <w:tcW w:w="1916" w:type="dxa"/>
          </w:tcPr>
          <w:p w:rsidR="00370BDD" w:rsidRDefault="00E314D2" w:rsidP="00370BDD">
            <w:pPr>
              <w:jc w:val="center"/>
            </w:pPr>
            <w:r>
              <w:t>-400</w:t>
            </w:r>
          </w:p>
        </w:tc>
      </w:tr>
      <w:tr w:rsidR="00370BDD" w:rsidTr="00370BDD">
        <w:tc>
          <w:tcPr>
            <w:tcW w:w="1915" w:type="dxa"/>
          </w:tcPr>
          <w:p w:rsidR="00370BDD" w:rsidRDefault="00370BDD" w:rsidP="00370BDD">
            <w:pPr>
              <w:jc w:val="center"/>
            </w:pPr>
            <w:r>
              <w:t>F2y (</w:t>
            </w:r>
            <w:proofErr w:type="spellStart"/>
            <w:r>
              <w:t>lbf</w:t>
            </w:r>
            <w:proofErr w:type="spellEnd"/>
            <w:r>
              <w:t>)</w:t>
            </w:r>
          </w:p>
        </w:tc>
        <w:tc>
          <w:tcPr>
            <w:tcW w:w="1915" w:type="dxa"/>
          </w:tcPr>
          <w:p w:rsidR="00370BDD" w:rsidRDefault="00707300" w:rsidP="00370BDD">
            <w:pPr>
              <w:jc w:val="center"/>
            </w:pPr>
            <w:r>
              <w:t>300.24</w:t>
            </w:r>
          </w:p>
        </w:tc>
        <w:tc>
          <w:tcPr>
            <w:tcW w:w="1915" w:type="dxa"/>
          </w:tcPr>
          <w:p w:rsidR="00370BDD" w:rsidRDefault="00707300" w:rsidP="00370BDD">
            <w:pPr>
              <w:jc w:val="center"/>
            </w:pPr>
            <w:r>
              <w:t>300.67</w:t>
            </w:r>
          </w:p>
        </w:tc>
        <w:tc>
          <w:tcPr>
            <w:tcW w:w="1915" w:type="dxa"/>
          </w:tcPr>
          <w:p w:rsidR="00370BDD" w:rsidRDefault="00E314D2" w:rsidP="00370BDD">
            <w:pPr>
              <w:jc w:val="center"/>
            </w:pPr>
            <w:r>
              <w:t>300</w:t>
            </w:r>
          </w:p>
        </w:tc>
        <w:tc>
          <w:tcPr>
            <w:tcW w:w="1916" w:type="dxa"/>
          </w:tcPr>
          <w:p w:rsidR="00370BDD" w:rsidRDefault="00E314D2" w:rsidP="00370BDD">
            <w:pPr>
              <w:jc w:val="center"/>
            </w:pPr>
            <w:r>
              <w:t>300</w:t>
            </w:r>
          </w:p>
        </w:tc>
      </w:tr>
      <w:tr w:rsidR="00370BDD" w:rsidTr="00370BDD">
        <w:tc>
          <w:tcPr>
            <w:tcW w:w="1915" w:type="dxa"/>
          </w:tcPr>
          <w:p w:rsidR="00370BDD" w:rsidRDefault="00370BDD" w:rsidP="00370BDD">
            <w:pPr>
              <w:jc w:val="center"/>
            </w:pPr>
            <w:r>
              <w:t>F3x (</w:t>
            </w:r>
            <w:proofErr w:type="spellStart"/>
            <w:r>
              <w:t>lbf</w:t>
            </w:r>
            <w:proofErr w:type="spellEnd"/>
            <w:r>
              <w:t>)</w:t>
            </w:r>
          </w:p>
        </w:tc>
        <w:tc>
          <w:tcPr>
            <w:tcW w:w="1915" w:type="dxa"/>
          </w:tcPr>
          <w:p w:rsidR="00370BDD" w:rsidRDefault="00707300" w:rsidP="00370BDD">
            <w:pPr>
              <w:jc w:val="center"/>
            </w:pPr>
            <w:r>
              <w:t>.945</w:t>
            </w:r>
          </w:p>
        </w:tc>
        <w:tc>
          <w:tcPr>
            <w:tcW w:w="1915" w:type="dxa"/>
          </w:tcPr>
          <w:p w:rsidR="00370BDD" w:rsidRDefault="00707300" w:rsidP="00370BDD">
            <w:pPr>
              <w:jc w:val="center"/>
            </w:pPr>
            <w:r>
              <w:t>1.521</w:t>
            </w:r>
          </w:p>
        </w:tc>
        <w:tc>
          <w:tcPr>
            <w:tcW w:w="1915" w:type="dxa"/>
          </w:tcPr>
          <w:p w:rsidR="00370BDD" w:rsidRDefault="00E314D2" w:rsidP="00370BDD">
            <w:pPr>
              <w:jc w:val="center"/>
            </w:pPr>
            <w:r>
              <w:t>0</w:t>
            </w:r>
          </w:p>
        </w:tc>
        <w:tc>
          <w:tcPr>
            <w:tcW w:w="1916" w:type="dxa"/>
          </w:tcPr>
          <w:p w:rsidR="00370BDD" w:rsidRDefault="00E314D2" w:rsidP="00370BDD">
            <w:pPr>
              <w:jc w:val="center"/>
            </w:pPr>
            <w:r>
              <w:t>0</w:t>
            </w:r>
          </w:p>
        </w:tc>
      </w:tr>
      <w:tr w:rsidR="00370BDD" w:rsidTr="00370BDD">
        <w:tc>
          <w:tcPr>
            <w:tcW w:w="1915" w:type="dxa"/>
          </w:tcPr>
          <w:p w:rsidR="00370BDD" w:rsidRDefault="00370BDD" w:rsidP="00370BDD">
            <w:pPr>
              <w:jc w:val="center"/>
            </w:pPr>
            <w:r>
              <w:t>F3y (</w:t>
            </w:r>
            <w:proofErr w:type="spellStart"/>
            <w:r>
              <w:t>lbf</w:t>
            </w:r>
            <w:proofErr w:type="spellEnd"/>
            <w:r>
              <w:t>)</w:t>
            </w:r>
          </w:p>
        </w:tc>
        <w:tc>
          <w:tcPr>
            <w:tcW w:w="1915" w:type="dxa"/>
          </w:tcPr>
          <w:p w:rsidR="00370BDD" w:rsidRDefault="00E314D2" w:rsidP="00370BDD">
            <w:pPr>
              <w:jc w:val="center"/>
            </w:pPr>
            <w:r>
              <w:t>-0</w:t>
            </w:r>
            <w:r w:rsidR="00707300">
              <w:t>.25</w:t>
            </w:r>
          </w:p>
        </w:tc>
        <w:tc>
          <w:tcPr>
            <w:tcW w:w="1915" w:type="dxa"/>
          </w:tcPr>
          <w:p w:rsidR="00370BDD" w:rsidRDefault="00E314D2" w:rsidP="00370BDD">
            <w:pPr>
              <w:jc w:val="center"/>
            </w:pPr>
            <w:r>
              <w:t>-</w:t>
            </w:r>
            <w:r w:rsidR="00707300">
              <w:t>0.673</w:t>
            </w:r>
          </w:p>
        </w:tc>
        <w:tc>
          <w:tcPr>
            <w:tcW w:w="1915" w:type="dxa"/>
          </w:tcPr>
          <w:p w:rsidR="00370BDD" w:rsidRDefault="00E314D2" w:rsidP="00370BDD">
            <w:pPr>
              <w:jc w:val="center"/>
            </w:pPr>
            <w:r>
              <w:t>0</w:t>
            </w:r>
          </w:p>
        </w:tc>
        <w:tc>
          <w:tcPr>
            <w:tcW w:w="1916" w:type="dxa"/>
          </w:tcPr>
          <w:p w:rsidR="00370BDD" w:rsidRDefault="00E314D2" w:rsidP="00370BDD">
            <w:pPr>
              <w:jc w:val="center"/>
            </w:pPr>
            <w:r>
              <w:t>0</w:t>
            </w:r>
          </w:p>
        </w:tc>
      </w:tr>
    </w:tbl>
    <w:p w:rsidR="00370BDD" w:rsidRDefault="00370BDD"/>
    <w:p w:rsidR="00FD2EDE" w:rsidRDefault="00FD2EDE"/>
    <w:p w:rsidR="00FD2EDE" w:rsidRDefault="00FD2EDE"/>
    <w:p w:rsidR="00D054CA" w:rsidRDefault="00D054CA" w:rsidP="00D054CA">
      <w:pPr>
        <w:jc w:val="center"/>
      </w:pPr>
      <w:r>
        <w:rPr>
          <w:noProof/>
        </w:rPr>
        <w:drawing>
          <wp:inline distT="0" distB="0" distL="0" distR="0">
            <wp:extent cx="3902802" cy="3143250"/>
            <wp:effectExtent l="19050" t="19050" r="2159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7031" cy="3146656"/>
                    </a:xfrm>
                    <a:prstGeom prst="rect">
                      <a:avLst/>
                    </a:prstGeom>
                    <a:noFill/>
                    <a:ln>
                      <a:solidFill>
                        <a:schemeClr val="tx1"/>
                      </a:solidFill>
                    </a:ln>
                  </pic:spPr>
                </pic:pic>
              </a:graphicData>
            </a:graphic>
          </wp:inline>
        </w:drawing>
      </w:r>
    </w:p>
    <w:p w:rsidR="00FD2EDE" w:rsidRDefault="00D054CA" w:rsidP="00D054CA">
      <w:pPr>
        <w:jc w:val="center"/>
      </w:pPr>
      <w:proofErr w:type="gramStart"/>
      <w:r w:rsidRPr="00730124">
        <w:rPr>
          <w:b/>
        </w:rPr>
        <w:t>Figure 2</w:t>
      </w:r>
      <w:r>
        <w:t>.</w:t>
      </w:r>
      <w:proofErr w:type="gramEnd"/>
      <w:r>
        <w:t xml:space="preserve"> Deformed Structure (all steel)</w:t>
      </w:r>
    </w:p>
    <w:p w:rsidR="00D054CA" w:rsidRDefault="00D054CA" w:rsidP="00D054CA">
      <w:pPr>
        <w:jc w:val="center"/>
      </w:pPr>
      <w:r>
        <w:rPr>
          <w:noProof/>
        </w:rPr>
        <w:lastRenderedPageBreak/>
        <w:drawing>
          <wp:inline distT="0" distB="0" distL="0" distR="0" wp14:anchorId="31CFC8FF" wp14:editId="0B5EA034">
            <wp:extent cx="3933825" cy="3366192"/>
            <wp:effectExtent l="19050" t="19050" r="9525"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9231" t="24665" r="33013" b="6969"/>
                    <a:stretch/>
                  </pic:blipFill>
                  <pic:spPr bwMode="auto">
                    <a:xfrm>
                      <a:off x="0" y="0"/>
                      <a:ext cx="3940005" cy="337148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D054CA" w:rsidRPr="0098021B" w:rsidRDefault="00D054CA" w:rsidP="00D054CA">
      <w:pPr>
        <w:jc w:val="center"/>
      </w:pPr>
      <w:proofErr w:type="gramStart"/>
      <w:r w:rsidRPr="00730124">
        <w:rPr>
          <w:b/>
        </w:rPr>
        <w:t>Figure 3</w:t>
      </w:r>
      <w:r>
        <w:t>.</w:t>
      </w:r>
      <w:proofErr w:type="gramEnd"/>
      <w:r>
        <w:t xml:space="preserve"> Deformed Structure (composite and steel)</w:t>
      </w:r>
    </w:p>
    <w:p w:rsidR="0098021B" w:rsidRPr="00C35216" w:rsidRDefault="0098021B">
      <w:pPr>
        <w:rPr>
          <w:b/>
          <w:highlight w:val="yellow"/>
        </w:rPr>
      </w:pPr>
    </w:p>
    <w:p w:rsidR="00645E74" w:rsidRPr="00FD2EDE" w:rsidRDefault="00645E74">
      <w:pPr>
        <w:rPr>
          <w:b/>
          <w:sz w:val="28"/>
        </w:rPr>
      </w:pPr>
      <w:r w:rsidRPr="00FD2EDE">
        <w:rPr>
          <w:b/>
          <w:sz w:val="28"/>
        </w:rPr>
        <w:t>Conclusion</w:t>
      </w:r>
    </w:p>
    <w:p w:rsidR="0098021B" w:rsidRDefault="00AB0528">
      <w:r>
        <w:t xml:space="preserve">Overall, neither shelf had a significant </w:t>
      </w:r>
      <w:r w:rsidR="00F46B79">
        <w:t>advantage</w:t>
      </w:r>
      <w:r>
        <w:t xml:space="preserve"> in performance. Both analytical </w:t>
      </w:r>
      <w:r w:rsidR="00F46B79">
        <w:t>calculations</w:t>
      </w:r>
      <w:r>
        <w:t xml:space="preserve"> and the ANSYS model indicated a smaller displacement when the composite replacement was added. Though this also resulted in decreased maximum stress</w:t>
      </w:r>
      <w:r w:rsidR="00F46B79">
        <w:t xml:space="preserve"> and switched which member experienced the maximum</w:t>
      </w:r>
      <w:r>
        <w:t xml:space="preserve">, </w:t>
      </w:r>
      <w:r w:rsidR="00F46B79">
        <w:t xml:space="preserve">neither shelf is at risk of yielding. However, steel is generally more affordable than composites so would be a better choice for most applications of the shelf. </w:t>
      </w:r>
    </w:p>
    <w:p w:rsidR="00FD2EDE" w:rsidRDefault="00FD2EDE"/>
    <w:p w:rsidR="00FD2EDE" w:rsidRPr="00F46B79" w:rsidRDefault="00FD2EDE"/>
    <w:p w:rsidR="0058519D" w:rsidRDefault="0058519D"/>
    <w:sectPr w:rsidR="00585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24"/>
    <w:rsid w:val="00033C7A"/>
    <w:rsid w:val="00067BB3"/>
    <w:rsid w:val="001E0011"/>
    <w:rsid w:val="00240851"/>
    <w:rsid w:val="00264908"/>
    <w:rsid w:val="002F256F"/>
    <w:rsid w:val="00370BDD"/>
    <w:rsid w:val="0038750C"/>
    <w:rsid w:val="003D03AE"/>
    <w:rsid w:val="003E7141"/>
    <w:rsid w:val="004744CA"/>
    <w:rsid w:val="00514F05"/>
    <w:rsid w:val="005422DC"/>
    <w:rsid w:val="00562D8F"/>
    <w:rsid w:val="00565586"/>
    <w:rsid w:val="0058519D"/>
    <w:rsid w:val="005B0AC7"/>
    <w:rsid w:val="00626F82"/>
    <w:rsid w:val="00645E74"/>
    <w:rsid w:val="00704E48"/>
    <w:rsid w:val="00707300"/>
    <w:rsid w:val="00730124"/>
    <w:rsid w:val="00797030"/>
    <w:rsid w:val="007F3224"/>
    <w:rsid w:val="008811BB"/>
    <w:rsid w:val="008C0E46"/>
    <w:rsid w:val="0098021B"/>
    <w:rsid w:val="00A2607A"/>
    <w:rsid w:val="00AB0528"/>
    <w:rsid w:val="00AB5072"/>
    <w:rsid w:val="00B54933"/>
    <w:rsid w:val="00BB5493"/>
    <w:rsid w:val="00C35216"/>
    <w:rsid w:val="00CB4BB6"/>
    <w:rsid w:val="00CD02FA"/>
    <w:rsid w:val="00D054CA"/>
    <w:rsid w:val="00DB02A6"/>
    <w:rsid w:val="00E21C55"/>
    <w:rsid w:val="00E314D2"/>
    <w:rsid w:val="00E83797"/>
    <w:rsid w:val="00EC4ADA"/>
    <w:rsid w:val="00F1030D"/>
    <w:rsid w:val="00F24189"/>
    <w:rsid w:val="00F36407"/>
    <w:rsid w:val="00F46B79"/>
    <w:rsid w:val="00F908FA"/>
    <w:rsid w:val="00FD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A"/>
    <w:rPr>
      <w:sz w:val="24"/>
      <w:szCs w:val="24"/>
    </w:rPr>
  </w:style>
  <w:style w:type="paragraph" w:styleId="Heading1">
    <w:name w:val="heading 1"/>
    <w:basedOn w:val="Normal"/>
    <w:next w:val="Normal"/>
    <w:link w:val="Heading1Char"/>
    <w:uiPriority w:val="9"/>
    <w:qFormat/>
    <w:rsid w:val="00033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3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3C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3C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3C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3C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3C7A"/>
    <w:pPr>
      <w:spacing w:before="240" w:after="60"/>
      <w:outlineLvl w:val="6"/>
    </w:pPr>
  </w:style>
  <w:style w:type="paragraph" w:styleId="Heading8">
    <w:name w:val="heading 8"/>
    <w:basedOn w:val="Normal"/>
    <w:next w:val="Normal"/>
    <w:link w:val="Heading8Char"/>
    <w:uiPriority w:val="9"/>
    <w:semiHidden/>
    <w:unhideWhenUsed/>
    <w:qFormat/>
    <w:rsid w:val="00033C7A"/>
    <w:pPr>
      <w:spacing w:before="240" w:after="60"/>
      <w:outlineLvl w:val="7"/>
    </w:pPr>
    <w:rPr>
      <w:i/>
      <w:iCs/>
    </w:rPr>
  </w:style>
  <w:style w:type="paragraph" w:styleId="Heading9">
    <w:name w:val="heading 9"/>
    <w:basedOn w:val="Normal"/>
    <w:next w:val="Normal"/>
    <w:link w:val="Heading9Char"/>
    <w:uiPriority w:val="9"/>
    <w:semiHidden/>
    <w:unhideWhenUsed/>
    <w:qFormat/>
    <w:rsid w:val="00033C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3C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3C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3C7A"/>
    <w:rPr>
      <w:b/>
      <w:bCs/>
      <w:sz w:val="28"/>
      <w:szCs w:val="28"/>
    </w:rPr>
  </w:style>
  <w:style w:type="character" w:customStyle="1" w:styleId="Heading5Char">
    <w:name w:val="Heading 5 Char"/>
    <w:basedOn w:val="DefaultParagraphFont"/>
    <w:link w:val="Heading5"/>
    <w:uiPriority w:val="9"/>
    <w:semiHidden/>
    <w:rsid w:val="00033C7A"/>
    <w:rPr>
      <w:b/>
      <w:bCs/>
      <w:i/>
      <w:iCs/>
      <w:sz w:val="26"/>
      <w:szCs w:val="26"/>
    </w:rPr>
  </w:style>
  <w:style w:type="character" w:customStyle="1" w:styleId="Heading6Char">
    <w:name w:val="Heading 6 Char"/>
    <w:basedOn w:val="DefaultParagraphFont"/>
    <w:link w:val="Heading6"/>
    <w:uiPriority w:val="9"/>
    <w:semiHidden/>
    <w:rsid w:val="00033C7A"/>
    <w:rPr>
      <w:b/>
      <w:bCs/>
    </w:rPr>
  </w:style>
  <w:style w:type="character" w:customStyle="1" w:styleId="Heading7Char">
    <w:name w:val="Heading 7 Char"/>
    <w:basedOn w:val="DefaultParagraphFont"/>
    <w:link w:val="Heading7"/>
    <w:uiPriority w:val="9"/>
    <w:semiHidden/>
    <w:rsid w:val="00033C7A"/>
    <w:rPr>
      <w:sz w:val="24"/>
      <w:szCs w:val="24"/>
    </w:rPr>
  </w:style>
  <w:style w:type="character" w:customStyle="1" w:styleId="Heading8Char">
    <w:name w:val="Heading 8 Char"/>
    <w:basedOn w:val="DefaultParagraphFont"/>
    <w:link w:val="Heading8"/>
    <w:uiPriority w:val="9"/>
    <w:semiHidden/>
    <w:rsid w:val="00033C7A"/>
    <w:rPr>
      <w:i/>
      <w:iCs/>
      <w:sz w:val="24"/>
      <w:szCs w:val="24"/>
    </w:rPr>
  </w:style>
  <w:style w:type="character" w:customStyle="1" w:styleId="Heading9Char">
    <w:name w:val="Heading 9 Char"/>
    <w:basedOn w:val="DefaultParagraphFont"/>
    <w:link w:val="Heading9"/>
    <w:uiPriority w:val="9"/>
    <w:semiHidden/>
    <w:rsid w:val="00033C7A"/>
    <w:rPr>
      <w:rFonts w:asciiTheme="majorHAnsi" w:eastAsiaTheme="majorEastAsia" w:hAnsiTheme="majorHAnsi"/>
    </w:rPr>
  </w:style>
  <w:style w:type="paragraph" w:styleId="Title">
    <w:name w:val="Title"/>
    <w:basedOn w:val="Normal"/>
    <w:next w:val="Normal"/>
    <w:link w:val="TitleChar"/>
    <w:uiPriority w:val="10"/>
    <w:qFormat/>
    <w:rsid w:val="00033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3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3C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3C7A"/>
    <w:rPr>
      <w:rFonts w:asciiTheme="majorHAnsi" w:eastAsiaTheme="majorEastAsia" w:hAnsiTheme="majorHAnsi"/>
      <w:sz w:val="24"/>
      <w:szCs w:val="24"/>
    </w:rPr>
  </w:style>
  <w:style w:type="character" w:styleId="Strong">
    <w:name w:val="Strong"/>
    <w:basedOn w:val="DefaultParagraphFont"/>
    <w:uiPriority w:val="22"/>
    <w:qFormat/>
    <w:rsid w:val="00033C7A"/>
    <w:rPr>
      <w:b/>
      <w:bCs/>
    </w:rPr>
  </w:style>
  <w:style w:type="character" w:styleId="Emphasis">
    <w:name w:val="Emphasis"/>
    <w:basedOn w:val="DefaultParagraphFont"/>
    <w:uiPriority w:val="20"/>
    <w:qFormat/>
    <w:rsid w:val="00033C7A"/>
    <w:rPr>
      <w:rFonts w:asciiTheme="minorHAnsi" w:hAnsiTheme="minorHAnsi"/>
      <w:b/>
      <w:i/>
      <w:iCs/>
    </w:rPr>
  </w:style>
  <w:style w:type="paragraph" w:styleId="NoSpacing">
    <w:name w:val="No Spacing"/>
    <w:basedOn w:val="Normal"/>
    <w:uiPriority w:val="1"/>
    <w:qFormat/>
    <w:rsid w:val="00033C7A"/>
    <w:rPr>
      <w:szCs w:val="32"/>
    </w:rPr>
  </w:style>
  <w:style w:type="paragraph" w:styleId="ListParagraph">
    <w:name w:val="List Paragraph"/>
    <w:basedOn w:val="Normal"/>
    <w:uiPriority w:val="34"/>
    <w:qFormat/>
    <w:rsid w:val="00033C7A"/>
    <w:pPr>
      <w:ind w:left="720"/>
      <w:contextualSpacing/>
    </w:pPr>
  </w:style>
  <w:style w:type="paragraph" w:styleId="Quote">
    <w:name w:val="Quote"/>
    <w:basedOn w:val="Normal"/>
    <w:next w:val="Normal"/>
    <w:link w:val="QuoteChar"/>
    <w:uiPriority w:val="29"/>
    <w:qFormat/>
    <w:rsid w:val="00033C7A"/>
    <w:rPr>
      <w:i/>
    </w:rPr>
  </w:style>
  <w:style w:type="character" w:customStyle="1" w:styleId="QuoteChar">
    <w:name w:val="Quote Char"/>
    <w:basedOn w:val="DefaultParagraphFont"/>
    <w:link w:val="Quote"/>
    <w:uiPriority w:val="29"/>
    <w:rsid w:val="00033C7A"/>
    <w:rPr>
      <w:i/>
      <w:sz w:val="24"/>
      <w:szCs w:val="24"/>
    </w:rPr>
  </w:style>
  <w:style w:type="paragraph" w:styleId="IntenseQuote">
    <w:name w:val="Intense Quote"/>
    <w:basedOn w:val="Normal"/>
    <w:next w:val="Normal"/>
    <w:link w:val="IntenseQuoteChar"/>
    <w:uiPriority w:val="30"/>
    <w:qFormat/>
    <w:rsid w:val="00033C7A"/>
    <w:pPr>
      <w:ind w:left="720" w:right="720"/>
    </w:pPr>
    <w:rPr>
      <w:b/>
      <w:i/>
      <w:szCs w:val="22"/>
    </w:rPr>
  </w:style>
  <w:style w:type="character" w:customStyle="1" w:styleId="IntenseQuoteChar">
    <w:name w:val="Intense Quote Char"/>
    <w:basedOn w:val="DefaultParagraphFont"/>
    <w:link w:val="IntenseQuote"/>
    <w:uiPriority w:val="30"/>
    <w:rsid w:val="00033C7A"/>
    <w:rPr>
      <w:b/>
      <w:i/>
      <w:sz w:val="24"/>
    </w:rPr>
  </w:style>
  <w:style w:type="character" w:styleId="SubtleEmphasis">
    <w:name w:val="Subtle Emphasis"/>
    <w:uiPriority w:val="19"/>
    <w:qFormat/>
    <w:rsid w:val="00033C7A"/>
    <w:rPr>
      <w:i/>
      <w:color w:val="5A5A5A" w:themeColor="text1" w:themeTint="A5"/>
    </w:rPr>
  </w:style>
  <w:style w:type="character" w:styleId="IntenseEmphasis">
    <w:name w:val="Intense Emphasis"/>
    <w:basedOn w:val="DefaultParagraphFont"/>
    <w:uiPriority w:val="21"/>
    <w:qFormat/>
    <w:rsid w:val="00033C7A"/>
    <w:rPr>
      <w:b/>
      <w:i/>
      <w:sz w:val="24"/>
      <w:szCs w:val="24"/>
      <w:u w:val="single"/>
    </w:rPr>
  </w:style>
  <w:style w:type="character" w:styleId="SubtleReference">
    <w:name w:val="Subtle Reference"/>
    <w:basedOn w:val="DefaultParagraphFont"/>
    <w:uiPriority w:val="31"/>
    <w:qFormat/>
    <w:rsid w:val="00033C7A"/>
    <w:rPr>
      <w:sz w:val="24"/>
      <w:szCs w:val="24"/>
      <w:u w:val="single"/>
    </w:rPr>
  </w:style>
  <w:style w:type="character" w:styleId="IntenseReference">
    <w:name w:val="Intense Reference"/>
    <w:basedOn w:val="DefaultParagraphFont"/>
    <w:uiPriority w:val="32"/>
    <w:qFormat/>
    <w:rsid w:val="00033C7A"/>
    <w:rPr>
      <w:b/>
      <w:sz w:val="24"/>
      <w:u w:val="single"/>
    </w:rPr>
  </w:style>
  <w:style w:type="character" w:styleId="BookTitle">
    <w:name w:val="Book Title"/>
    <w:basedOn w:val="DefaultParagraphFont"/>
    <w:uiPriority w:val="33"/>
    <w:qFormat/>
    <w:rsid w:val="00033C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3C7A"/>
    <w:pPr>
      <w:outlineLvl w:val="9"/>
    </w:pPr>
  </w:style>
  <w:style w:type="paragraph" w:styleId="BalloonText">
    <w:name w:val="Balloon Text"/>
    <w:basedOn w:val="Normal"/>
    <w:link w:val="BalloonTextChar"/>
    <w:uiPriority w:val="99"/>
    <w:semiHidden/>
    <w:unhideWhenUsed/>
    <w:rsid w:val="007F3224"/>
    <w:rPr>
      <w:rFonts w:ascii="Tahoma" w:hAnsi="Tahoma" w:cs="Tahoma"/>
      <w:sz w:val="16"/>
      <w:szCs w:val="16"/>
    </w:rPr>
  </w:style>
  <w:style w:type="character" w:customStyle="1" w:styleId="BalloonTextChar">
    <w:name w:val="Balloon Text Char"/>
    <w:basedOn w:val="DefaultParagraphFont"/>
    <w:link w:val="BalloonText"/>
    <w:uiPriority w:val="99"/>
    <w:semiHidden/>
    <w:rsid w:val="007F3224"/>
    <w:rPr>
      <w:rFonts w:ascii="Tahoma" w:hAnsi="Tahoma" w:cs="Tahoma"/>
      <w:sz w:val="16"/>
      <w:szCs w:val="16"/>
    </w:rPr>
  </w:style>
  <w:style w:type="table" w:styleId="TableGrid">
    <w:name w:val="Table Grid"/>
    <w:basedOn w:val="TableNormal"/>
    <w:uiPriority w:val="59"/>
    <w:rsid w:val="00E8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A"/>
    <w:rPr>
      <w:sz w:val="24"/>
      <w:szCs w:val="24"/>
    </w:rPr>
  </w:style>
  <w:style w:type="paragraph" w:styleId="Heading1">
    <w:name w:val="heading 1"/>
    <w:basedOn w:val="Normal"/>
    <w:next w:val="Normal"/>
    <w:link w:val="Heading1Char"/>
    <w:uiPriority w:val="9"/>
    <w:qFormat/>
    <w:rsid w:val="00033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3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3C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3C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3C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3C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3C7A"/>
    <w:pPr>
      <w:spacing w:before="240" w:after="60"/>
      <w:outlineLvl w:val="6"/>
    </w:pPr>
  </w:style>
  <w:style w:type="paragraph" w:styleId="Heading8">
    <w:name w:val="heading 8"/>
    <w:basedOn w:val="Normal"/>
    <w:next w:val="Normal"/>
    <w:link w:val="Heading8Char"/>
    <w:uiPriority w:val="9"/>
    <w:semiHidden/>
    <w:unhideWhenUsed/>
    <w:qFormat/>
    <w:rsid w:val="00033C7A"/>
    <w:pPr>
      <w:spacing w:before="240" w:after="60"/>
      <w:outlineLvl w:val="7"/>
    </w:pPr>
    <w:rPr>
      <w:i/>
      <w:iCs/>
    </w:rPr>
  </w:style>
  <w:style w:type="paragraph" w:styleId="Heading9">
    <w:name w:val="heading 9"/>
    <w:basedOn w:val="Normal"/>
    <w:next w:val="Normal"/>
    <w:link w:val="Heading9Char"/>
    <w:uiPriority w:val="9"/>
    <w:semiHidden/>
    <w:unhideWhenUsed/>
    <w:qFormat/>
    <w:rsid w:val="00033C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3C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3C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3C7A"/>
    <w:rPr>
      <w:b/>
      <w:bCs/>
      <w:sz w:val="28"/>
      <w:szCs w:val="28"/>
    </w:rPr>
  </w:style>
  <w:style w:type="character" w:customStyle="1" w:styleId="Heading5Char">
    <w:name w:val="Heading 5 Char"/>
    <w:basedOn w:val="DefaultParagraphFont"/>
    <w:link w:val="Heading5"/>
    <w:uiPriority w:val="9"/>
    <w:semiHidden/>
    <w:rsid w:val="00033C7A"/>
    <w:rPr>
      <w:b/>
      <w:bCs/>
      <w:i/>
      <w:iCs/>
      <w:sz w:val="26"/>
      <w:szCs w:val="26"/>
    </w:rPr>
  </w:style>
  <w:style w:type="character" w:customStyle="1" w:styleId="Heading6Char">
    <w:name w:val="Heading 6 Char"/>
    <w:basedOn w:val="DefaultParagraphFont"/>
    <w:link w:val="Heading6"/>
    <w:uiPriority w:val="9"/>
    <w:semiHidden/>
    <w:rsid w:val="00033C7A"/>
    <w:rPr>
      <w:b/>
      <w:bCs/>
    </w:rPr>
  </w:style>
  <w:style w:type="character" w:customStyle="1" w:styleId="Heading7Char">
    <w:name w:val="Heading 7 Char"/>
    <w:basedOn w:val="DefaultParagraphFont"/>
    <w:link w:val="Heading7"/>
    <w:uiPriority w:val="9"/>
    <w:semiHidden/>
    <w:rsid w:val="00033C7A"/>
    <w:rPr>
      <w:sz w:val="24"/>
      <w:szCs w:val="24"/>
    </w:rPr>
  </w:style>
  <w:style w:type="character" w:customStyle="1" w:styleId="Heading8Char">
    <w:name w:val="Heading 8 Char"/>
    <w:basedOn w:val="DefaultParagraphFont"/>
    <w:link w:val="Heading8"/>
    <w:uiPriority w:val="9"/>
    <w:semiHidden/>
    <w:rsid w:val="00033C7A"/>
    <w:rPr>
      <w:i/>
      <w:iCs/>
      <w:sz w:val="24"/>
      <w:szCs w:val="24"/>
    </w:rPr>
  </w:style>
  <w:style w:type="character" w:customStyle="1" w:styleId="Heading9Char">
    <w:name w:val="Heading 9 Char"/>
    <w:basedOn w:val="DefaultParagraphFont"/>
    <w:link w:val="Heading9"/>
    <w:uiPriority w:val="9"/>
    <w:semiHidden/>
    <w:rsid w:val="00033C7A"/>
    <w:rPr>
      <w:rFonts w:asciiTheme="majorHAnsi" w:eastAsiaTheme="majorEastAsia" w:hAnsiTheme="majorHAnsi"/>
    </w:rPr>
  </w:style>
  <w:style w:type="paragraph" w:styleId="Title">
    <w:name w:val="Title"/>
    <w:basedOn w:val="Normal"/>
    <w:next w:val="Normal"/>
    <w:link w:val="TitleChar"/>
    <w:uiPriority w:val="10"/>
    <w:qFormat/>
    <w:rsid w:val="00033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3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3C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3C7A"/>
    <w:rPr>
      <w:rFonts w:asciiTheme="majorHAnsi" w:eastAsiaTheme="majorEastAsia" w:hAnsiTheme="majorHAnsi"/>
      <w:sz w:val="24"/>
      <w:szCs w:val="24"/>
    </w:rPr>
  </w:style>
  <w:style w:type="character" w:styleId="Strong">
    <w:name w:val="Strong"/>
    <w:basedOn w:val="DefaultParagraphFont"/>
    <w:uiPriority w:val="22"/>
    <w:qFormat/>
    <w:rsid w:val="00033C7A"/>
    <w:rPr>
      <w:b/>
      <w:bCs/>
    </w:rPr>
  </w:style>
  <w:style w:type="character" w:styleId="Emphasis">
    <w:name w:val="Emphasis"/>
    <w:basedOn w:val="DefaultParagraphFont"/>
    <w:uiPriority w:val="20"/>
    <w:qFormat/>
    <w:rsid w:val="00033C7A"/>
    <w:rPr>
      <w:rFonts w:asciiTheme="minorHAnsi" w:hAnsiTheme="minorHAnsi"/>
      <w:b/>
      <w:i/>
      <w:iCs/>
    </w:rPr>
  </w:style>
  <w:style w:type="paragraph" w:styleId="NoSpacing">
    <w:name w:val="No Spacing"/>
    <w:basedOn w:val="Normal"/>
    <w:uiPriority w:val="1"/>
    <w:qFormat/>
    <w:rsid w:val="00033C7A"/>
    <w:rPr>
      <w:szCs w:val="32"/>
    </w:rPr>
  </w:style>
  <w:style w:type="paragraph" w:styleId="ListParagraph">
    <w:name w:val="List Paragraph"/>
    <w:basedOn w:val="Normal"/>
    <w:uiPriority w:val="34"/>
    <w:qFormat/>
    <w:rsid w:val="00033C7A"/>
    <w:pPr>
      <w:ind w:left="720"/>
      <w:contextualSpacing/>
    </w:pPr>
  </w:style>
  <w:style w:type="paragraph" w:styleId="Quote">
    <w:name w:val="Quote"/>
    <w:basedOn w:val="Normal"/>
    <w:next w:val="Normal"/>
    <w:link w:val="QuoteChar"/>
    <w:uiPriority w:val="29"/>
    <w:qFormat/>
    <w:rsid w:val="00033C7A"/>
    <w:rPr>
      <w:i/>
    </w:rPr>
  </w:style>
  <w:style w:type="character" w:customStyle="1" w:styleId="QuoteChar">
    <w:name w:val="Quote Char"/>
    <w:basedOn w:val="DefaultParagraphFont"/>
    <w:link w:val="Quote"/>
    <w:uiPriority w:val="29"/>
    <w:rsid w:val="00033C7A"/>
    <w:rPr>
      <w:i/>
      <w:sz w:val="24"/>
      <w:szCs w:val="24"/>
    </w:rPr>
  </w:style>
  <w:style w:type="paragraph" w:styleId="IntenseQuote">
    <w:name w:val="Intense Quote"/>
    <w:basedOn w:val="Normal"/>
    <w:next w:val="Normal"/>
    <w:link w:val="IntenseQuoteChar"/>
    <w:uiPriority w:val="30"/>
    <w:qFormat/>
    <w:rsid w:val="00033C7A"/>
    <w:pPr>
      <w:ind w:left="720" w:right="720"/>
    </w:pPr>
    <w:rPr>
      <w:b/>
      <w:i/>
      <w:szCs w:val="22"/>
    </w:rPr>
  </w:style>
  <w:style w:type="character" w:customStyle="1" w:styleId="IntenseQuoteChar">
    <w:name w:val="Intense Quote Char"/>
    <w:basedOn w:val="DefaultParagraphFont"/>
    <w:link w:val="IntenseQuote"/>
    <w:uiPriority w:val="30"/>
    <w:rsid w:val="00033C7A"/>
    <w:rPr>
      <w:b/>
      <w:i/>
      <w:sz w:val="24"/>
    </w:rPr>
  </w:style>
  <w:style w:type="character" w:styleId="SubtleEmphasis">
    <w:name w:val="Subtle Emphasis"/>
    <w:uiPriority w:val="19"/>
    <w:qFormat/>
    <w:rsid w:val="00033C7A"/>
    <w:rPr>
      <w:i/>
      <w:color w:val="5A5A5A" w:themeColor="text1" w:themeTint="A5"/>
    </w:rPr>
  </w:style>
  <w:style w:type="character" w:styleId="IntenseEmphasis">
    <w:name w:val="Intense Emphasis"/>
    <w:basedOn w:val="DefaultParagraphFont"/>
    <w:uiPriority w:val="21"/>
    <w:qFormat/>
    <w:rsid w:val="00033C7A"/>
    <w:rPr>
      <w:b/>
      <w:i/>
      <w:sz w:val="24"/>
      <w:szCs w:val="24"/>
      <w:u w:val="single"/>
    </w:rPr>
  </w:style>
  <w:style w:type="character" w:styleId="SubtleReference">
    <w:name w:val="Subtle Reference"/>
    <w:basedOn w:val="DefaultParagraphFont"/>
    <w:uiPriority w:val="31"/>
    <w:qFormat/>
    <w:rsid w:val="00033C7A"/>
    <w:rPr>
      <w:sz w:val="24"/>
      <w:szCs w:val="24"/>
      <w:u w:val="single"/>
    </w:rPr>
  </w:style>
  <w:style w:type="character" w:styleId="IntenseReference">
    <w:name w:val="Intense Reference"/>
    <w:basedOn w:val="DefaultParagraphFont"/>
    <w:uiPriority w:val="32"/>
    <w:qFormat/>
    <w:rsid w:val="00033C7A"/>
    <w:rPr>
      <w:b/>
      <w:sz w:val="24"/>
      <w:u w:val="single"/>
    </w:rPr>
  </w:style>
  <w:style w:type="character" w:styleId="BookTitle">
    <w:name w:val="Book Title"/>
    <w:basedOn w:val="DefaultParagraphFont"/>
    <w:uiPriority w:val="33"/>
    <w:qFormat/>
    <w:rsid w:val="00033C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3C7A"/>
    <w:pPr>
      <w:outlineLvl w:val="9"/>
    </w:pPr>
  </w:style>
  <w:style w:type="paragraph" w:styleId="BalloonText">
    <w:name w:val="Balloon Text"/>
    <w:basedOn w:val="Normal"/>
    <w:link w:val="BalloonTextChar"/>
    <w:uiPriority w:val="99"/>
    <w:semiHidden/>
    <w:unhideWhenUsed/>
    <w:rsid w:val="007F3224"/>
    <w:rPr>
      <w:rFonts w:ascii="Tahoma" w:hAnsi="Tahoma" w:cs="Tahoma"/>
      <w:sz w:val="16"/>
      <w:szCs w:val="16"/>
    </w:rPr>
  </w:style>
  <w:style w:type="character" w:customStyle="1" w:styleId="BalloonTextChar">
    <w:name w:val="Balloon Text Char"/>
    <w:basedOn w:val="DefaultParagraphFont"/>
    <w:link w:val="BalloonText"/>
    <w:uiPriority w:val="99"/>
    <w:semiHidden/>
    <w:rsid w:val="007F3224"/>
    <w:rPr>
      <w:rFonts w:ascii="Tahoma" w:hAnsi="Tahoma" w:cs="Tahoma"/>
      <w:sz w:val="16"/>
      <w:szCs w:val="16"/>
    </w:rPr>
  </w:style>
  <w:style w:type="table" w:styleId="TableGrid">
    <w:name w:val="Table Grid"/>
    <w:basedOn w:val="TableNormal"/>
    <w:uiPriority w:val="59"/>
    <w:rsid w:val="00E8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Neuman</dc:creator>
  <cp:lastModifiedBy>Kira Neuman</cp:lastModifiedBy>
  <cp:revision>32</cp:revision>
  <cp:lastPrinted>2015-10-26T17:57:00Z</cp:lastPrinted>
  <dcterms:created xsi:type="dcterms:W3CDTF">2015-10-21T18:18:00Z</dcterms:created>
  <dcterms:modified xsi:type="dcterms:W3CDTF">2015-10-26T17:59:00Z</dcterms:modified>
</cp:coreProperties>
</file>